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ascii="微软雅黑 ! important" w:hAnsi="微软雅黑 ! important" w:eastAsia="微软雅黑 ! important" w:cs="微软雅黑 ! important"/>
          <w:i w:val="0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br w:type="textWrapping"/>
      </w:r>
      <w:r>
        <w:rPr>
          <w:rFonts w:hint="default" w:ascii="微软雅黑 ! important" w:hAnsi="微软雅黑 ! important" w:eastAsia="微软雅黑 ! important" w:cs="微软雅黑 ! important"/>
          <w:i w:val="0"/>
        </w:rPr>
        <w:t>限制进口放射性同位素目录</w:t>
      </w:r>
    </w:p>
    <w:tbl>
      <w:tblPr>
        <w:tblStyle w:val="5"/>
        <w:tblW w:w="6642" w:type="dxa"/>
        <w:jc w:val="center"/>
        <w:tblCellSpacing w:w="0" w:type="dxa"/>
        <w:tblInd w:w="84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271"/>
        <w:gridCol w:w="3727"/>
        <w:gridCol w:w="5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HS编码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商品名称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2844100000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天然铀及其化合物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2844200000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U235浓缩铀，坏及其化合物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2844300000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U235贫化铀，牡及它们的化合物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克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2844401010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镭-226及其化合物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2844401090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其他镭及镭盐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2844402000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放射性钻及放射性钻盐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2844409010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铀-233及其化合物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2844409090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其他放射性元素同位素及其化合物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注：2844401010、2844401090、2844402000、2844409090第二计量单位为“贝可”，凡进口上述商品，须按“克”和“贝可”同时申报。</w:t>
      </w: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0799B"/>
    <w:rsid w:val="4D2E2CAB"/>
    <w:rsid w:val="59F079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customStyle="1" w:styleId="6">
    <w:name w:val="language"/>
    <w:basedOn w:val="3"/>
    <w:qFormat/>
    <w:uiPriority w:val="0"/>
  </w:style>
  <w:style w:type="character" w:customStyle="1" w:styleId="7">
    <w:name w:val="moduletitle_menuitemsel"/>
    <w:basedOn w:val="3"/>
    <w:qFormat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2016-02-24T09:32:00Z</dcterms:created>
  <dc:creator>Administrator</dc:creator>
  <cp:lastModifiedBy>Admin</cp:lastModifiedBy>
  <dcterms:modified xsi:type="dcterms:W3CDTF">2016-05-14T08:44:40Z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