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附件9：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812155" cy="2741295"/>
            <wp:effectExtent l="0" t="0" r="17145" b="1905"/>
            <wp:docPr id="9" name="图片 9" descr="http://www.dcetax.com/mycms/apps/Public/Uploads/2012/0527/4fc19327c4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dcetax.com/mycms/apps/Public/Uploads/2012/0527/4fc19327c410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274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注：1.第13栏“补征税额”是指退运货物，涉嫌骗税货物等而补缴的税款。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       　 2.企业类型栏：若为外商投资企业填W，有进出口权内资生产企业填N、无进出口经营权内资生产企业填D。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      　 3.申报退（免）税额及本年国库已办理退（免）税额均含以前年度结转数，可根据上年清算数据划分退（免）税额的所属期为本年发生或以前年度结转。</w:t>
      </w:r>
    </w:p>
    <w:p>
      <w:pPr/>
      <w:r>
        <w:rPr>
          <w:rFonts w:hint="eastAsia" w:ascii="宋体" w:hAnsi="宋体" w:eastAsia="宋体" w:cs="宋体"/>
          <w:color w:val="333333"/>
          <w:kern w:val="0"/>
          <w:szCs w:val="21"/>
        </w:rPr>
        <w:t>　      　 4.备案未退（免）税额包括单证不齐或电子信息不齐。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43FA5"/>
    <w:rsid w:val="64743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