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ascii="微软雅黑 ! important" w:hAnsi="微软雅黑 ! important" w:eastAsia="微软雅黑 ! important" w:cs="微软雅黑 ! important"/>
          <w:i w:val="0"/>
        </w:rPr>
        <w:t xml:space="preserve">附件 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 xml:space="preserve">限制进口类可用作原料的废物目录 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 xml:space="preserve">（第一批） </w:t>
      </w:r>
    </w:p>
    <w:tbl>
      <w:tblPr>
        <w:tblStyle w:val="4"/>
        <w:tblW w:w="8394" w:type="dxa"/>
        <w:tblCellSpacing w:w="15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1269"/>
        <w:gridCol w:w="3072"/>
        <w:gridCol w:w="35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序号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商品编码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商品名称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26190000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熔渣、浮渣，氧化皮及其他废料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冶炼钢铁所产生的（粒状熔渣除外）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39151000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乙烯聚合物的废碎料及下脚料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39152000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苯乙烯聚合物的废碎料及下脚料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39153000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氯乙烯聚合物的废碎料及下脚料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39159000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其他塑料的废碎料及下脚料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72042100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不锈钢废碎料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72044900.10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废汽车压件 </w:t>
            </w: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72044900.20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以回收钢铁为主的废五金电器 </w:t>
            </w:r>
          </w:p>
        </w:tc>
        <w:tc>
          <w:tcPr>
            <w:tcW w:w="3466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74012000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沉积铜(泥铜)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74040000.10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以回收铜为主的废电机等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包括废电机、电线、电缆、五金电器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76020000.10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以回收铝为主的废电线等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包括废电线、电缆、五金电器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89080000 </w:t>
            </w:r>
          </w:p>
        </w:tc>
        <w:tc>
          <w:tcPr>
            <w:tcW w:w="30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供拆卸的船舶及其他浮动结构体 </w:t>
            </w:r>
          </w:p>
        </w:tc>
        <w:tc>
          <w:tcPr>
            <w:tcW w:w="3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　 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F7AF9"/>
    <w:rsid w:val="456704AA"/>
    <w:rsid w:val="666F7A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moduletitle_menuitemsel"/>
    <w:basedOn w:val="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6">
    <w:name w:val="languag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2016-02-24T09:33:00Z</dcterms:created>
  <dc:creator>Administrator</dc:creator>
  <cp:lastModifiedBy>Admin</cp:lastModifiedBy>
  <dcterms:modified xsi:type="dcterms:W3CDTF">2016-05-14T08:47:38Z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