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 xml:space="preserve"> </w:t>
      </w:r>
      <w:r>
        <w:rPr>
          <w:rFonts w:hint="default" w:ascii="微软雅黑 ! important" w:hAnsi="微软雅黑 ! important" w:eastAsia="微软雅黑 ! important" w:cs="微软雅黑 ! important"/>
          <w:i w:val="0"/>
        </w:rPr>
        <w:t>附件</w:t>
      </w:r>
      <w:r>
        <w:rPr>
          <w:rFonts w:hint="eastAsia" w:ascii="微软雅黑 ! important" w:hAnsi="微软雅黑 ! important" w:eastAsia="微软雅黑 ! important" w:cs="微软雅黑 ! important"/>
          <w:i w:val="0"/>
          <w:lang w:val="en-US" w:eastAsia="zh-CN"/>
        </w:rPr>
        <w:t>3</w:t>
      </w:r>
      <w:r>
        <w:rPr>
          <w:rFonts w:hint="default" w:ascii="微软雅黑 ! important" w:hAnsi="微软雅黑 ! important" w:eastAsia="微软雅黑 ! important" w:cs="微软雅黑 ! important"/>
          <w:i w:val="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对外贸易经济合作部授权的进口配额管理机构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1．对外贸易经济合作部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2．外经贸部配额许可证事务局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3．北京市对外经济贸易委员会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4．天津市对外经济贸易委员会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5．河北省对外贸易经济合作厅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6．山西省对外贸易经济合作厅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7．内蒙古自治区对外贸易经济合作厅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8．辽宁省对外贸易经济合作厅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9．大连市对外贸易经济合作局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10．吉林省对外贸易经济合作厅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11．黑龙江省对外贸易经济合作厅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12．黑龙江省外资管理局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13．上海市对外经济贸易委员会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14．上海市外国投资工作委员会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15．江苏省对外贸易经济合作厅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16．浙江省对外贸易经济合作厅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17．宁波市对外贸易经济合作局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18．安徽省对外贸易经济合作厅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19．江西省对外贸易经济合作厅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20．福建省对外贸易经济合作厅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21．厦门市贸易发展委员会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22．厦门市外商投资工作委员会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23．山东省对外贸易经济合作厅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24．青岛市对外贸易经济合作局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25．河南省对外贸易经济合作厅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26．湖北省对外贸易经济合作厅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27．湖南省对外贸易经济合作厅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28．广东省对外贸易经济合作厅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29，深圳市对外贸易经济合作局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30．广西壮族自治区对外贸易经济合作厅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31．广西壮族自治区外商投资管理办公室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32．海南省对外贸易经济合作厅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33．重庆市对外贸易经济委员会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34．四川省对外贸易经济合作厅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35．贵州省贸易合作厅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36．云南省对外贸易经济合作厅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37．酉藏自治区对外贸易经济合作厅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38．陕西省对外贸易经济合作厅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39．甘肃省贸易经济合作厅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40．青海省对外贸易经济合作厅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41．宁夏回族自治区对外贸易经济合作厅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42．新疆维吾尔自治区对外贸易经济合作厅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</w:rPr>
        <w:t>43．新疆生产建设兵团对外贸易经济合作局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A7BFF"/>
    <w:rsid w:val="591A7BF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2016-05-19T03:30:00Z</dcterms:created>
  <dc:creator>Admin</dc:creator>
  <cp:lastModifiedBy>Admin</cp:lastModifiedBy>
  <dcterms:modified xsi:type="dcterms:W3CDTF">2016-05-19T03:32:07Z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