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内地与澳门更紧密经贸关系安排2011年下半年已完成原产地标准核准商品税目税率表</w:t>
      </w:r>
    </w:p>
    <w:tbl>
      <w:tblPr>
        <w:tblStyle w:val="3"/>
        <w:tblW w:w="83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701"/>
        <w:gridCol w:w="2977"/>
        <w:gridCol w:w="1701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z w:val="28"/>
                <w:szCs w:val="28"/>
              </w:rPr>
              <w:t>税则号列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z w:val="28"/>
                <w:szCs w:val="28"/>
              </w:rPr>
              <w:t>商品名称（简称）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z w:val="28"/>
                <w:szCs w:val="28"/>
              </w:rPr>
              <w:t>最惠国税率（%）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z w:val="28"/>
                <w:szCs w:val="28"/>
              </w:rPr>
              <w:t>协定税率（%）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82" w:type="dxa"/>
            <w:shd w:val="clear" w:color="auto" w:fill="auto"/>
            <w:vAlign w:val="center"/>
          </w:tcPr>
          <w:p>
            <w:pPr>
              <w:ind w:right="14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70195200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宽度&gt;30厘米及每平方米≤ 250克的玻璃纤维长丝平纹织物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注：表中商品名称为简称，实施协定税率的商品范围以2011年《中华人民共和国进出口税则》相应税则号列规定的商品范围为准。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60F8B"/>
    <w:rsid w:val="70560F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2016-05-20T07:07:00Z</dcterms:created>
  <dc:creator>Admin</dc:creator>
  <cp:lastModifiedBy>Admin</cp:lastModifiedBy>
  <dcterms:modified xsi:type="dcterms:W3CDTF">2016-05-20T07:07:51Z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