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附件4：    </w:t>
      </w:r>
    </w:p>
    <w:p>
      <w:pPr>
        <w:rPr>
          <w:rFonts w:hint="eastAsia"/>
        </w:rPr>
      </w:pPr>
      <w:r>
        <w:rPr>
          <w:rFonts w:hint="eastAsia"/>
        </w:rPr>
        <w:t>海关总署信息中心热线电话解答问题的范围</w:t>
      </w:r>
    </w:p>
    <w:p>
      <w:pPr>
        <w:rPr>
          <w:rFonts w:hint="eastAsia"/>
        </w:rPr>
      </w:pPr>
      <w:r>
        <w:rPr>
          <w:rFonts w:hint="eastAsia"/>
        </w:rPr>
        <w:t xml:space="preserve">    （010）65195991</w:t>
      </w:r>
    </w:p>
    <w:p>
      <w:pPr>
        <w:rPr>
          <w:rFonts w:hint="eastAsia"/>
        </w:rPr>
      </w:pPr>
      <w:r>
        <w:rPr>
          <w:rFonts w:hint="eastAsia"/>
        </w:rPr>
        <w:t xml:space="preserve">    （1）企业已经打印了出口退税证明联并已经上传总署信息中心，而在电子口岸查不到数据；</w:t>
      </w:r>
    </w:p>
    <w:p>
      <w:pPr>
        <w:rPr>
          <w:rFonts w:hint="eastAsia"/>
        </w:rPr>
      </w:pPr>
      <w:r>
        <w:rPr>
          <w:rFonts w:hint="eastAsia"/>
        </w:rPr>
        <w:t xml:space="preserve">    （2）企业在电子口岸上查询的数据与纸质报关单不一致，信息中心帮助企业定位不一致的原因，并答复企业，属总署信息中心的，一并解决；其他方面的，负责通知有关方面。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A13823"/>
    <w:rsid w:val="28A138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2016-05-24T02:57:00Z</dcterms:created>
  <dc:creator>Admin</dc:creator>
  <cp:lastModifiedBy>Admin</cp:lastModifiedBy>
  <dcterms:modified xsi:type="dcterms:W3CDTF">2016-05-24T02:58:57Z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