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724" w:type="dxa"/>
        <w:jc w:val="center"/>
        <w:tblCellSpacing w:w="0" w:type="dxa"/>
        <w:tblInd w:w="291" w:type="dxa"/>
        <w:shd w:val="clear" w:color="auto" w:fill="FFFFFF"/>
        <w:tblLayout w:type="fixed"/>
        <w:tblCellMar>
          <w:top w:w="0" w:type="dxa"/>
          <w:left w:w="0" w:type="dxa"/>
          <w:bottom w:w="0" w:type="dxa"/>
          <w:right w:w="0" w:type="dxa"/>
        </w:tblCellMar>
      </w:tblPr>
      <w:tblGrid>
        <w:gridCol w:w="7724"/>
      </w:tblGrid>
      <w:tr>
        <w:tblPrEx>
          <w:shd w:val="clear" w:color="auto" w:fill="FFFFFF"/>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yriad Pro" w:hAnsi="Myriad Pro" w:eastAsia="Myriad Pro" w:cs="Myriad Pro"/>
                <w:caps w:val="0"/>
                <w:spacing w:val="30"/>
                <w:sz w:val="18"/>
                <w:szCs w:val="18"/>
              </w:rPr>
            </w:pPr>
            <w:r>
              <w:rPr>
                <w:rFonts w:hint="default" w:ascii="Myriad Pro" w:hAnsi="Myriad Pro" w:eastAsia="Myriad Pro" w:cs="Myriad Pro"/>
                <w:b/>
                <w:caps w:val="0"/>
                <w:spacing w:val="30"/>
                <w:kern w:val="0"/>
                <w:sz w:val="27"/>
                <w:szCs w:val="27"/>
                <w:bdr w:val="none" w:color="auto" w:sz="0" w:space="0"/>
                <w:lang w:val="en-US" w:eastAsia="zh-CN" w:bidi="ar"/>
              </w:rPr>
              <w:t>国务院关于经济特区和上海浦东新区新设立高新技术企业实行过渡性税收优惠的通知 </w:t>
            </w:r>
            <w:r>
              <w:rPr>
                <w:rFonts w:hint="default" w:ascii="Myriad Pro" w:hAnsi="Myriad Pro" w:eastAsia="Myriad Pro" w:cs="Myriad Pro"/>
                <w:caps w:val="0"/>
                <w:spacing w:val="30"/>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241" w:hRule="atLeast"/>
          <w:tblCellSpacing w:w="0" w:type="dxa"/>
          <w:jc w:val="center"/>
        </w:trPr>
        <w:tc>
          <w:tcPr>
            <w:tcW w:w="7724" w:type="dxa"/>
            <w:shd w:val="clear" w:color="auto" w:fill="FFFFFF"/>
            <w:vAlign w:val="center"/>
          </w:tcPr>
          <w:p>
            <w:pPr>
              <w:keepNext w:val="0"/>
              <w:keepLines w:val="0"/>
              <w:widowControl/>
              <w:suppressLineNumbers w:val="0"/>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yriad Pro" w:hAnsi="Myriad Pro" w:eastAsia="Myriad Pro" w:cs="Myriad Pro"/>
                <w:caps w:val="0"/>
                <w:spacing w:val="30"/>
                <w:sz w:val="18"/>
                <w:szCs w:val="18"/>
              </w:rPr>
            </w:pPr>
            <w:r>
              <w:rPr>
                <w:rFonts w:hint="default" w:ascii="Myriad Pro" w:hAnsi="Myriad Pro" w:eastAsia="Myriad Pro" w:cs="Myriad Pro"/>
                <w:caps w:val="0"/>
                <w:spacing w:val="30"/>
                <w:kern w:val="0"/>
                <w:sz w:val="18"/>
                <w:szCs w:val="18"/>
                <w:bdr w:val="none" w:color="auto" w:sz="0" w:space="0"/>
                <w:lang w:val="en-US" w:eastAsia="zh-CN" w:bidi="ar"/>
              </w:rPr>
              <w:t>国发〔2007〕40号 </w:t>
            </w:r>
          </w:p>
        </w:tc>
      </w:tr>
      <w:tr>
        <w:tblPrEx>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Myriad Pro" w:hAnsi="Myriad Pro" w:eastAsia="Myriad Pro" w:cs="Myriad Pro"/>
                <w:caps w:val="0"/>
                <w:spacing w:val="30"/>
                <w:sz w:val="18"/>
                <w:szCs w:val="18"/>
              </w:rPr>
            </w:pPr>
            <w:r>
              <w:rPr>
                <w:rFonts w:hint="default" w:ascii="Myriad Pro" w:hAnsi="Myriad Pro" w:eastAsia="Myriad Pro" w:cs="Myriad Pro"/>
                <w:caps w:val="0"/>
                <w:color w:val="FF0000"/>
                <w:spacing w:val="30"/>
                <w:kern w:val="0"/>
                <w:sz w:val="18"/>
                <w:szCs w:val="18"/>
                <w:bdr w:val="none" w:color="auto" w:sz="0" w:space="0"/>
                <w:lang w:val="en-US" w:eastAsia="zh-CN" w:bidi="ar"/>
              </w:rPr>
              <w:t>全文有效</w:t>
            </w:r>
            <w:r>
              <w:rPr>
                <w:rFonts w:hint="default" w:ascii="Myriad Pro" w:hAnsi="Myriad Pro" w:eastAsia="Myriad Pro" w:cs="Myriad Pro"/>
                <w:caps w:val="0"/>
                <w:spacing w:val="30"/>
                <w:kern w:val="0"/>
                <w:sz w:val="18"/>
                <w:szCs w:val="18"/>
                <w:bdr w:val="none" w:color="auto" w:sz="0" w:space="0"/>
                <w:lang w:val="en-US" w:eastAsia="zh-CN" w:bidi="ar"/>
              </w:rPr>
              <w:t>   成文日期：2007-12-26</w:t>
            </w:r>
          </w:p>
        </w:tc>
      </w:tr>
      <w:tr>
        <w:tblPrEx>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Myriad Pro" w:hAnsi="Myriad Pro" w:eastAsia="Myriad Pro" w:cs="Myriad Pro"/>
                <w:caps w:val="0"/>
                <w:spacing w:val="30"/>
                <w:sz w:val="18"/>
                <w:szCs w:val="18"/>
              </w:rPr>
            </w:pPr>
            <w:r>
              <w:rPr>
                <w:rFonts w:hint="default" w:ascii="Myriad Pro" w:hAnsi="Myriad Pro" w:eastAsia="Myriad Pro" w:cs="Myriad Pro"/>
                <w:caps w:val="0"/>
                <w:spacing w:val="30"/>
                <w:kern w:val="0"/>
                <w:sz w:val="18"/>
                <w:szCs w:val="18"/>
                <w:bdr w:val="none" w:color="auto" w:sz="0" w:space="0"/>
                <w:lang w:val="en-US" w:eastAsia="zh-CN" w:bidi="ar"/>
              </w:rPr>
              <w:t> </w:t>
            </w:r>
          </w:p>
        </w:tc>
      </w:tr>
    </w:tbl>
    <w:p>
      <w:pPr>
        <w:rPr>
          <w:vanish/>
          <w:sz w:val="24"/>
          <w:szCs w:val="24"/>
        </w:rPr>
      </w:pPr>
    </w:p>
    <w:tbl>
      <w:tblPr>
        <w:tblW w:w="7724" w:type="dxa"/>
        <w:tblCellSpacing w:w="0" w:type="dxa"/>
        <w:tblInd w:w="0" w:type="dxa"/>
        <w:shd w:val="clear" w:color="auto" w:fill="FFFFFF"/>
        <w:tblLayout w:type="fixed"/>
        <w:tblCellMar>
          <w:top w:w="0" w:type="dxa"/>
          <w:left w:w="0" w:type="dxa"/>
          <w:bottom w:w="0" w:type="dxa"/>
          <w:right w:w="0" w:type="dxa"/>
        </w:tblCellMar>
      </w:tblPr>
      <w:tblGrid>
        <w:gridCol w:w="7724"/>
      </w:tblGrid>
      <w:tr>
        <w:tblPrEx>
          <w:shd w:val="clear" w:color="auto" w:fill="FFFFFF"/>
          <w:tblLayout w:type="fixed"/>
          <w:tblCellMar>
            <w:top w:w="0" w:type="dxa"/>
            <w:left w:w="0" w:type="dxa"/>
            <w:bottom w:w="0" w:type="dxa"/>
            <w:right w:w="0" w:type="dxa"/>
          </w:tblCellMar>
        </w:tblPrEx>
        <w:trPr>
          <w:tblCellSpacing w:w="0" w:type="dxa"/>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Myriad Pro" w:hAnsi="Myriad Pro" w:eastAsia="Myriad Pro" w:cs="Myriad Pro"/>
                <w:caps w:val="0"/>
                <w:spacing w:val="30"/>
                <w:sz w:val="18"/>
                <w:szCs w:val="18"/>
              </w:rPr>
            </w:pPr>
            <w:r>
              <w:rPr>
                <w:rFonts w:hint="default" w:ascii="Myriad Pro" w:hAnsi="Myriad Pro" w:eastAsia="Myriad Pro" w:cs="Myriad Pro"/>
                <w:caps w:val="0"/>
                <w:spacing w:val="30"/>
                <w:kern w:val="0"/>
                <w:sz w:val="18"/>
                <w:szCs w:val="18"/>
                <w:bdr w:val="none" w:color="auto" w:sz="0" w:space="0"/>
                <w:lang w:val="en-US" w:eastAsia="zh-CN" w:bidi="ar"/>
              </w:rPr>
              <w:t>字体： 【</w:t>
            </w:r>
            <w:r>
              <w:rPr>
                <w:rFonts w:hint="default" w:ascii="Myriad Pro" w:hAnsi="Myriad Pro" w:eastAsia="Myriad Pro" w:cs="Myriad Pro"/>
                <w:caps w:val="0"/>
                <w:spacing w:val="30"/>
                <w:kern w:val="0"/>
                <w:sz w:val="18"/>
                <w:szCs w:val="18"/>
                <w:bdr w:val="none" w:color="auto" w:sz="0" w:space="0"/>
                <w:lang w:val="en-US" w:eastAsia="zh-CN" w:bidi="ar"/>
              </w:rPr>
              <w:fldChar w:fldCharType="begin"/>
            </w:r>
            <w:r>
              <w:rPr>
                <w:rFonts w:hint="default" w:ascii="Myriad Pro" w:hAnsi="Myriad Pro" w:eastAsia="Myriad Pro" w:cs="Myriad Pro"/>
                <w:caps w:val="0"/>
                <w:spacing w:val="30"/>
                <w:kern w:val="0"/>
                <w:sz w:val="18"/>
                <w:szCs w:val="18"/>
                <w:bdr w:val="none" w:color="auto" w:sz="0" w:space="0"/>
                <w:lang w:val="en-US" w:eastAsia="zh-CN" w:bidi="ar"/>
              </w:rPr>
              <w:instrText xml:space="preserve"> HYPERLINK "http://202.108.90.172:8080/guoshui/action/GetArticleView1.do?id=4064&amp;flag=1" </w:instrText>
            </w:r>
            <w:r>
              <w:rPr>
                <w:rFonts w:hint="default" w:ascii="Myriad Pro" w:hAnsi="Myriad Pro" w:eastAsia="Myriad Pro" w:cs="Myriad Pro"/>
                <w:caps w:val="0"/>
                <w:spacing w:val="30"/>
                <w:kern w:val="0"/>
                <w:sz w:val="18"/>
                <w:szCs w:val="18"/>
                <w:bdr w:val="none" w:color="auto" w:sz="0" w:space="0"/>
                <w:lang w:val="en-US" w:eastAsia="zh-CN" w:bidi="ar"/>
              </w:rPr>
              <w:fldChar w:fldCharType="separate"/>
            </w:r>
            <w:r>
              <w:rPr>
                <w:rStyle w:val="4"/>
                <w:rFonts w:hint="default" w:ascii="Myriad Pro" w:hAnsi="Myriad Pro" w:eastAsia="Myriad Pro" w:cs="Myriad Pro"/>
                <w:caps w:val="0"/>
                <w:spacing w:val="30"/>
                <w:sz w:val="18"/>
                <w:szCs w:val="18"/>
                <w:bdr w:val="none" w:color="auto" w:sz="0" w:space="0"/>
              </w:rPr>
              <w:t>大</w:t>
            </w:r>
            <w:r>
              <w:rPr>
                <w:rFonts w:hint="default" w:ascii="Myriad Pro" w:hAnsi="Myriad Pro" w:eastAsia="Myriad Pro" w:cs="Myriad Pro"/>
                <w:caps w:val="0"/>
                <w:spacing w:val="30"/>
                <w:kern w:val="0"/>
                <w:sz w:val="18"/>
                <w:szCs w:val="18"/>
                <w:bdr w:val="none" w:color="auto" w:sz="0" w:space="0"/>
                <w:lang w:val="en-US" w:eastAsia="zh-CN" w:bidi="ar"/>
              </w:rPr>
              <w:fldChar w:fldCharType="end"/>
            </w:r>
            <w:r>
              <w:rPr>
                <w:rFonts w:hint="default" w:ascii="Myriad Pro" w:hAnsi="Myriad Pro" w:eastAsia="Myriad Pro" w:cs="Myriad Pro"/>
                <w:caps w:val="0"/>
                <w:spacing w:val="30"/>
                <w:kern w:val="0"/>
                <w:sz w:val="18"/>
                <w:szCs w:val="18"/>
                <w:bdr w:val="none" w:color="auto" w:sz="0" w:space="0"/>
                <w:lang w:val="en-US" w:eastAsia="zh-CN" w:bidi="ar"/>
              </w:rPr>
              <w:t>】 【</w:t>
            </w:r>
            <w:r>
              <w:rPr>
                <w:rFonts w:hint="default" w:ascii="Myriad Pro" w:hAnsi="Myriad Pro" w:eastAsia="Myriad Pro" w:cs="Myriad Pro"/>
                <w:caps w:val="0"/>
                <w:spacing w:val="30"/>
                <w:kern w:val="0"/>
                <w:sz w:val="18"/>
                <w:szCs w:val="18"/>
                <w:bdr w:val="none" w:color="auto" w:sz="0" w:space="0"/>
                <w:lang w:val="en-US" w:eastAsia="zh-CN" w:bidi="ar"/>
              </w:rPr>
              <w:fldChar w:fldCharType="begin"/>
            </w:r>
            <w:r>
              <w:rPr>
                <w:rFonts w:hint="default" w:ascii="Myriad Pro" w:hAnsi="Myriad Pro" w:eastAsia="Myriad Pro" w:cs="Myriad Pro"/>
                <w:caps w:val="0"/>
                <w:spacing w:val="30"/>
                <w:kern w:val="0"/>
                <w:sz w:val="18"/>
                <w:szCs w:val="18"/>
                <w:bdr w:val="none" w:color="auto" w:sz="0" w:space="0"/>
                <w:lang w:val="en-US" w:eastAsia="zh-CN" w:bidi="ar"/>
              </w:rPr>
              <w:instrText xml:space="preserve"> HYPERLINK "http://202.108.90.172:8080/guoshui/action/GetArticleView1.do?id=4064&amp;flag=1" </w:instrText>
            </w:r>
            <w:r>
              <w:rPr>
                <w:rFonts w:hint="default" w:ascii="Myriad Pro" w:hAnsi="Myriad Pro" w:eastAsia="Myriad Pro" w:cs="Myriad Pro"/>
                <w:caps w:val="0"/>
                <w:spacing w:val="30"/>
                <w:kern w:val="0"/>
                <w:sz w:val="18"/>
                <w:szCs w:val="18"/>
                <w:bdr w:val="none" w:color="auto" w:sz="0" w:space="0"/>
                <w:lang w:val="en-US" w:eastAsia="zh-CN" w:bidi="ar"/>
              </w:rPr>
              <w:fldChar w:fldCharType="separate"/>
            </w:r>
            <w:r>
              <w:rPr>
                <w:rStyle w:val="4"/>
                <w:rFonts w:hint="default" w:ascii="Myriad Pro" w:hAnsi="Myriad Pro" w:eastAsia="Myriad Pro" w:cs="Myriad Pro"/>
                <w:caps w:val="0"/>
                <w:spacing w:val="30"/>
                <w:sz w:val="18"/>
                <w:szCs w:val="18"/>
                <w:bdr w:val="none" w:color="auto" w:sz="0" w:space="0"/>
              </w:rPr>
              <w:t>中</w:t>
            </w:r>
            <w:r>
              <w:rPr>
                <w:rFonts w:hint="default" w:ascii="Myriad Pro" w:hAnsi="Myriad Pro" w:eastAsia="Myriad Pro" w:cs="Myriad Pro"/>
                <w:caps w:val="0"/>
                <w:spacing w:val="30"/>
                <w:kern w:val="0"/>
                <w:sz w:val="18"/>
                <w:szCs w:val="18"/>
                <w:bdr w:val="none" w:color="auto" w:sz="0" w:space="0"/>
                <w:lang w:val="en-US" w:eastAsia="zh-CN" w:bidi="ar"/>
              </w:rPr>
              <w:fldChar w:fldCharType="end"/>
            </w:r>
            <w:r>
              <w:rPr>
                <w:rFonts w:hint="default" w:ascii="Myriad Pro" w:hAnsi="Myriad Pro" w:eastAsia="Myriad Pro" w:cs="Myriad Pro"/>
                <w:caps w:val="0"/>
                <w:spacing w:val="30"/>
                <w:kern w:val="0"/>
                <w:sz w:val="18"/>
                <w:szCs w:val="18"/>
                <w:bdr w:val="none" w:color="auto" w:sz="0" w:space="0"/>
                <w:lang w:val="en-US" w:eastAsia="zh-CN" w:bidi="ar"/>
              </w:rPr>
              <w:t>】 【</w:t>
            </w:r>
            <w:r>
              <w:rPr>
                <w:rFonts w:hint="default" w:ascii="Myriad Pro" w:hAnsi="Myriad Pro" w:eastAsia="Myriad Pro" w:cs="Myriad Pro"/>
                <w:caps w:val="0"/>
                <w:spacing w:val="30"/>
                <w:kern w:val="0"/>
                <w:sz w:val="18"/>
                <w:szCs w:val="18"/>
                <w:bdr w:val="none" w:color="auto" w:sz="0" w:space="0"/>
                <w:lang w:val="en-US" w:eastAsia="zh-CN" w:bidi="ar"/>
              </w:rPr>
              <w:fldChar w:fldCharType="begin"/>
            </w:r>
            <w:r>
              <w:rPr>
                <w:rFonts w:hint="default" w:ascii="Myriad Pro" w:hAnsi="Myriad Pro" w:eastAsia="Myriad Pro" w:cs="Myriad Pro"/>
                <w:caps w:val="0"/>
                <w:spacing w:val="30"/>
                <w:kern w:val="0"/>
                <w:sz w:val="18"/>
                <w:szCs w:val="18"/>
                <w:bdr w:val="none" w:color="auto" w:sz="0" w:space="0"/>
                <w:lang w:val="en-US" w:eastAsia="zh-CN" w:bidi="ar"/>
              </w:rPr>
              <w:instrText xml:space="preserve"> HYPERLINK "http://202.108.90.172:8080/guoshui/action/GetArticleView1.do?id=4064&amp;flag=1" </w:instrText>
            </w:r>
            <w:r>
              <w:rPr>
                <w:rFonts w:hint="default" w:ascii="Myriad Pro" w:hAnsi="Myriad Pro" w:eastAsia="Myriad Pro" w:cs="Myriad Pro"/>
                <w:caps w:val="0"/>
                <w:spacing w:val="30"/>
                <w:kern w:val="0"/>
                <w:sz w:val="18"/>
                <w:szCs w:val="18"/>
                <w:bdr w:val="none" w:color="auto" w:sz="0" w:space="0"/>
                <w:lang w:val="en-US" w:eastAsia="zh-CN" w:bidi="ar"/>
              </w:rPr>
              <w:fldChar w:fldCharType="separate"/>
            </w:r>
            <w:r>
              <w:rPr>
                <w:rStyle w:val="4"/>
                <w:rFonts w:hint="default" w:ascii="Myriad Pro" w:hAnsi="Myriad Pro" w:eastAsia="Myriad Pro" w:cs="Myriad Pro"/>
                <w:caps w:val="0"/>
                <w:spacing w:val="30"/>
                <w:sz w:val="18"/>
                <w:szCs w:val="18"/>
                <w:bdr w:val="none" w:color="auto" w:sz="0" w:space="0"/>
              </w:rPr>
              <w:t>小</w:t>
            </w:r>
            <w:r>
              <w:rPr>
                <w:rFonts w:hint="default" w:ascii="Myriad Pro" w:hAnsi="Myriad Pro" w:eastAsia="Myriad Pro" w:cs="Myriad Pro"/>
                <w:caps w:val="0"/>
                <w:spacing w:val="30"/>
                <w:kern w:val="0"/>
                <w:sz w:val="18"/>
                <w:szCs w:val="18"/>
                <w:bdr w:val="none" w:color="auto" w:sz="0" w:space="0"/>
                <w:lang w:val="en-US" w:eastAsia="zh-CN" w:bidi="ar"/>
              </w:rPr>
              <w:fldChar w:fldCharType="end"/>
            </w:r>
            <w:r>
              <w:rPr>
                <w:rFonts w:hint="default" w:ascii="Myriad Pro" w:hAnsi="Myriad Pro" w:eastAsia="Myriad Pro" w:cs="Myriad Pro"/>
                <w:caps w:val="0"/>
                <w:spacing w:val="30"/>
                <w:kern w:val="0"/>
                <w:sz w:val="18"/>
                <w:szCs w:val="18"/>
                <w:bdr w:val="none" w:color="auto" w:sz="0" w:space="0"/>
                <w:lang w:val="en-US" w:eastAsia="zh-CN" w:bidi="ar"/>
              </w:rPr>
              <w:t>】</w:t>
            </w:r>
          </w:p>
        </w:tc>
      </w:tr>
    </w:tbl>
    <w:p>
      <w:pPr>
        <w:rPr>
          <w:vanish/>
          <w:sz w:val="24"/>
          <w:szCs w:val="24"/>
        </w:rPr>
      </w:pPr>
    </w:p>
    <w:tbl>
      <w:tblPr>
        <w:tblW w:w="7890" w:type="dxa"/>
        <w:jc w:val="center"/>
        <w:tblCellSpacing w:w="0" w:type="dxa"/>
        <w:tblInd w:w="208" w:type="dxa"/>
        <w:shd w:val="clear" w:color="auto" w:fill="FFFFFF"/>
        <w:tblLayout w:type="fixed"/>
        <w:tblCellMar>
          <w:top w:w="0" w:type="dxa"/>
          <w:left w:w="0" w:type="dxa"/>
          <w:bottom w:w="0" w:type="dxa"/>
          <w:right w:w="0" w:type="dxa"/>
        </w:tblCellMar>
      </w:tblPr>
      <w:tblGrid>
        <w:gridCol w:w="7890"/>
      </w:tblGrid>
      <w:tr>
        <w:tblPrEx>
          <w:shd w:val="clear" w:color="auto" w:fill="FFFFFF"/>
          <w:tblLayout w:type="fixed"/>
          <w:tblCellMar>
            <w:top w:w="0" w:type="dxa"/>
            <w:left w:w="0" w:type="dxa"/>
            <w:bottom w:w="0" w:type="dxa"/>
            <w:right w:w="0" w:type="dxa"/>
          </w:tblCellMar>
        </w:tblPrEx>
        <w:trPr>
          <w:tblCellSpacing w:w="0" w:type="dxa"/>
          <w:jc w:val="center"/>
        </w:trPr>
        <w:tc>
          <w:tcPr>
            <w:tcW w:w="78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315" w:lineRule="atLeast"/>
              <w:ind w:left="0" w:right="0"/>
              <w:rPr>
                <w:sz w:val="21"/>
                <w:szCs w:val="21"/>
              </w:rPr>
            </w:pPr>
            <w:r>
              <w:rPr>
                <w:rFonts w:hint="eastAsia" w:ascii="宋体" w:hAnsi="宋体" w:eastAsia="宋体" w:cs="宋体"/>
                <w:caps w:val="0"/>
                <w:color w:val="000000"/>
                <w:spacing w:val="30"/>
                <w:sz w:val="21"/>
                <w:szCs w:val="21"/>
                <w:bdr w:val="none" w:color="auto" w:sz="0" w:space="0"/>
              </w:rPr>
              <w:t>各省、自治区、直辖市人民政府，国务院各部委、各直属机构：</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根据《中华人民共和国企业所得税法》第五十七条的有关规定，国务院决定对法律设置的发展对外经济合作和技术交流的特定地区内，以及国务院已规定执行上述地区特殊政策的地区内新设立的国家需要重点扶持的高新技术企业，实行过渡性税收优惠。现就有关问题通知如下：</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一、法律设置的发展对外经济合作和技术交流的特定地区，是指深圳、珠海、汕头、厦门和海南经济特区；国务院已规定执行上述地区特殊政策的地区，是指上海浦东新区。</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二、对经济特区和上海浦东新区内在2008年1月1日（含）之后完成登记注册的国家需要重点扶持的高新技术企业（以下简称新设高新技术企业），在经济特区和上海浦东新区内取得的所得，自取得第一笔生产经营收入所属纳税年度起，第一年至第二年免征企业所得税，第三年至第五年按照25%的法定税率减半征收企业所得税。</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国家需要重点扶持的高新技术企业，是指拥有核心自主知识产权，同时符合《中华人民共和国企业所得税法实施条例》第九十三条规定的条件，并按照《高新技术企业认定管理办法》认定的高新技术企业。</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三、经济特区和上海浦东新区内新设高新技术企业同时在经济特区和上海浦东新区以外的地区从事生产经营的，应当单独计算其在经济特区和上海浦东新区内取得的所得，并合理分摊企业的期间费用；没有单独计算的，不得享受企业所得税优惠。</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四、经济特区和上海浦东新区内新设高新技术企业在按照本通知的规定享受过渡性税收优惠期间，由于复审或抽查不合格而不再具有高新技术企业资格的，从其不再具有高新技术企业资格年度起，停止享受过渡性税收优惠；以后再次被认定为高新技术企业的，不得继续享受或者重新享受过渡性税收优惠。</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五、本通知自2008年1月1日起执行。</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国务院</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二○○七年十二月二十六日</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Myriad 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65ED7"/>
    <w:rsid w:val="184F596E"/>
    <w:rsid w:val="78665E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2016-01-30T01:19:00Z</dcterms:created>
  <dc:creator>Administrator</dc:creator>
  <cp:lastModifiedBy>Administrator</cp:lastModifiedBy>
  <dcterms:modified xsi:type="dcterms:W3CDTF">2016-01-30T01:19:42Z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