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7724" w:type="dxa"/>
        <w:jc w:val="center"/>
        <w:tblCellSpacing w:w="0" w:type="dxa"/>
        <w:tblInd w:w="291" w:type="dxa"/>
        <w:shd w:val="clear"/>
        <w:tblLayout w:type="fixed"/>
        <w:tblCellMar>
          <w:top w:w="0" w:type="dxa"/>
          <w:left w:w="0" w:type="dxa"/>
          <w:bottom w:w="0" w:type="dxa"/>
          <w:right w:w="0" w:type="dxa"/>
        </w:tblCellMar>
      </w:tblPr>
      <w:tblGrid>
        <w:gridCol w:w="7724"/>
      </w:tblGrid>
      <w:tr>
        <w:tblPrEx>
          <w:shd w:val="clear"/>
          <w:tblLayout w:type="fixed"/>
          <w:tblCellMar>
            <w:top w:w="0" w:type="dxa"/>
            <w:left w:w="0" w:type="dxa"/>
            <w:bottom w:w="0" w:type="dxa"/>
            <w:right w:w="0" w:type="dxa"/>
          </w:tblCellMar>
        </w:tblPrEx>
        <w:trPr>
          <w:tblCellSpacing w:w="0" w:type="dxa"/>
          <w:jc w:val="center"/>
        </w:trPr>
        <w:tc>
          <w:tcPr>
            <w:tcW w:w="7724" w:type="dxa"/>
            <w:shd w:val="clear"/>
            <w:vAlign w:val="center"/>
          </w:tcPr>
          <w:p>
            <w:pPr>
              <w:keepNext w:val="0"/>
              <w:keepLines w:val="0"/>
              <w:widowControl/>
              <w:suppressLineNumbers w:val="0"/>
              <w:spacing w:line="300" w:lineRule="atLeast"/>
              <w:jc w:val="center"/>
              <w:rPr>
                <w:rFonts w:hint="eastAsia" w:ascii="宋体" w:hAnsi="宋体" w:eastAsia="宋体" w:cs="宋体"/>
                <w:b/>
                <w:color w:val="454545"/>
                <w:sz w:val="24"/>
                <w:szCs w:val="24"/>
              </w:rPr>
            </w:pPr>
            <w:r>
              <w:rPr>
                <w:rFonts w:hint="eastAsia" w:ascii="宋体" w:hAnsi="宋体" w:eastAsia="宋体" w:cs="宋体"/>
                <w:b/>
                <w:color w:val="454545"/>
                <w:kern w:val="0"/>
                <w:sz w:val="27"/>
                <w:szCs w:val="27"/>
                <w:lang w:val="en-US" w:eastAsia="zh-CN" w:bidi="ar"/>
              </w:rPr>
              <w:t xml:space="preserve">国家税务总局关于资源综合利用企业所得税优惠管理问题的通知 </w:t>
            </w:r>
          </w:p>
        </w:tc>
      </w:tr>
      <w:tr>
        <w:tblPrEx>
          <w:tblLayout w:type="fixed"/>
          <w:tblCellMar>
            <w:top w:w="0" w:type="dxa"/>
            <w:left w:w="0" w:type="dxa"/>
            <w:bottom w:w="0" w:type="dxa"/>
            <w:right w:w="0" w:type="dxa"/>
          </w:tblCellMar>
        </w:tblPrEx>
        <w:trPr>
          <w:trHeight w:val="241" w:hRule="atLeast"/>
          <w:tblCellSpacing w:w="0" w:type="dxa"/>
          <w:jc w:val="center"/>
        </w:trPr>
        <w:tc>
          <w:tcPr>
            <w:tcW w:w="7724" w:type="dxa"/>
            <w:shd w:val="clear"/>
            <w:vAlign w:val="center"/>
          </w:tcPr>
          <w:p>
            <w:pPr>
              <w:keepNext w:val="0"/>
              <w:keepLines w:val="0"/>
              <w:widowControl/>
              <w:suppressLineNumbers w:val="0"/>
              <w:spacing w:line="300" w:lineRule="atLeast"/>
            </w:pPr>
            <w:r>
              <w:rPr>
                <w:sz w:val="24"/>
                <w:szCs w:val="24"/>
              </w:rPr>
              <w:pict>
                <v:rect id="_x0000_i1025" o:spt="1" style="height:0.75pt;width:401.75pt;" fillcolor="#A0A0A0" filled="t" stroked="f" coordsize="21600,21600" o:hr="t" o:hrstd="t" o:hralign="center">
                  <v:path/>
                  <v:fill on="t" focussize="0,0"/>
                  <v:stroke on="f"/>
                  <v:imagedata o:title=""/>
                  <o:lock v:ext="edit"/>
                  <w10:wrap type="none"/>
                  <w10:anchorlock/>
                </v:rect>
              </w:pict>
            </w:r>
          </w:p>
        </w:tc>
      </w:tr>
      <w:tr>
        <w:tblPrEx>
          <w:tblLayout w:type="fixed"/>
          <w:tblCellMar>
            <w:top w:w="0" w:type="dxa"/>
            <w:left w:w="0" w:type="dxa"/>
            <w:bottom w:w="0" w:type="dxa"/>
            <w:right w:w="0" w:type="dxa"/>
          </w:tblCellMar>
        </w:tblPrEx>
        <w:trPr>
          <w:trHeight w:val="375" w:hRule="atLeast"/>
          <w:tblCellSpacing w:w="0" w:type="dxa"/>
          <w:jc w:val="center"/>
        </w:trPr>
        <w:tc>
          <w:tcPr>
            <w:tcW w:w="7724" w:type="dxa"/>
            <w:shd w:val="clear"/>
            <w:vAlign w:val="center"/>
          </w:tcPr>
          <w:p>
            <w:pPr>
              <w:keepNext w:val="0"/>
              <w:keepLines w:val="0"/>
              <w:widowControl/>
              <w:suppressLineNumbers w:val="0"/>
              <w:spacing w:line="540" w:lineRule="atLeast"/>
              <w:jc w:val="center"/>
              <w:rPr>
                <w:rFonts w:hint="eastAsia" w:ascii="宋体" w:hAnsi="宋体" w:eastAsia="宋体" w:cs="宋体"/>
                <w:b/>
                <w:color w:val="DF0000"/>
                <w:sz w:val="18"/>
                <w:szCs w:val="18"/>
              </w:rPr>
            </w:pPr>
            <w:r>
              <w:rPr>
                <w:rFonts w:hint="eastAsia" w:ascii="宋体" w:hAnsi="宋体" w:eastAsia="宋体" w:cs="宋体"/>
                <w:b/>
                <w:color w:val="DF0000"/>
                <w:kern w:val="0"/>
                <w:sz w:val="18"/>
                <w:szCs w:val="18"/>
                <w:lang w:val="en-US" w:eastAsia="zh-CN" w:bidi="ar"/>
              </w:rPr>
              <w:t xml:space="preserve">国税函〔2009〕185号 </w:t>
            </w:r>
          </w:p>
        </w:tc>
      </w:tr>
      <w:tr>
        <w:tblPrEx>
          <w:tblLayout w:type="fixed"/>
          <w:tblCellMar>
            <w:top w:w="0" w:type="dxa"/>
            <w:left w:w="0" w:type="dxa"/>
            <w:bottom w:w="0" w:type="dxa"/>
            <w:right w:w="0" w:type="dxa"/>
          </w:tblCellMar>
        </w:tblPrEx>
        <w:trPr>
          <w:tblCellSpacing w:w="0" w:type="dxa"/>
          <w:jc w:val="center"/>
        </w:trPr>
        <w:tc>
          <w:tcPr>
            <w:tcW w:w="7724" w:type="dxa"/>
            <w:shd w:val="clear"/>
            <w:vAlign w:val="center"/>
          </w:tcPr>
          <w:p>
            <w:pPr>
              <w:keepNext w:val="0"/>
              <w:keepLines w:val="0"/>
              <w:widowControl/>
              <w:suppressLineNumbers w:val="0"/>
              <w:spacing w:line="540" w:lineRule="atLeast"/>
              <w:jc w:val="right"/>
              <w:rPr>
                <w:rFonts w:hint="eastAsia" w:ascii="宋体" w:hAnsi="宋体" w:eastAsia="宋体" w:cs="宋体"/>
                <w:color w:val="005DDC"/>
                <w:sz w:val="18"/>
                <w:szCs w:val="18"/>
              </w:rPr>
            </w:pPr>
            <w:r>
              <w:rPr>
                <w:rFonts w:hint="eastAsia" w:ascii="宋体" w:hAnsi="宋体" w:eastAsia="宋体" w:cs="宋体"/>
                <w:color w:val="FF0000"/>
                <w:kern w:val="0"/>
                <w:sz w:val="18"/>
                <w:szCs w:val="18"/>
                <w:lang w:val="en-US" w:eastAsia="zh-CN" w:bidi="ar"/>
              </w:rPr>
              <w:t>全文有效</w:t>
            </w:r>
            <w:r>
              <w:rPr>
                <w:rFonts w:hint="eastAsia" w:ascii="宋体" w:hAnsi="宋体" w:eastAsia="宋体" w:cs="宋体"/>
                <w:color w:val="005DDC"/>
                <w:kern w:val="0"/>
                <w:sz w:val="18"/>
                <w:szCs w:val="18"/>
                <w:lang w:val="en-US" w:eastAsia="zh-CN" w:bidi="ar"/>
              </w:rPr>
              <w:t xml:space="preserve"> 成文日期：2009-04-10</w:t>
            </w:r>
          </w:p>
        </w:tc>
      </w:tr>
      <w:tr>
        <w:tblPrEx>
          <w:tblLayout w:type="fixed"/>
          <w:tblCellMar>
            <w:top w:w="0" w:type="dxa"/>
            <w:left w:w="0" w:type="dxa"/>
            <w:bottom w:w="0" w:type="dxa"/>
            <w:right w:w="0" w:type="dxa"/>
          </w:tblCellMar>
        </w:tblPrEx>
        <w:trPr>
          <w:tblCellSpacing w:w="0" w:type="dxa"/>
          <w:jc w:val="center"/>
        </w:trPr>
        <w:tc>
          <w:tcPr>
            <w:tcW w:w="7724" w:type="dxa"/>
            <w:shd w:val="clear"/>
            <w:tcMar>
              <w:top w:w="45" w:type="dxa"/>
            </w:tcMar>
            <w:vAlign w:val="center"/>
          </w:tcPr>
          <w:p>
            <w:pPr>
              <w:jc w:val="center"/>
              <w:rPr>
                <w:rFonts w:hint="eastAsia" w:ascii="宋体" w:hAnsi="宋体" w:eastAsia="宋体" w:cs="宋体"/>
                <w:b/>
                <w:color w:val="111111"/>
                <w:sz w:val="19"/>
                <w:szCs w:val="19"/>
              </w:rPr>
            </w:pPr>
          </w:p>
        </w:tc>
      </w:tr>
    </w:tbl>
    <w:p>
      <w:pPr>
        <w:rPr>
          <w:vanish/>
          <w:sz w:val="24"/>
          <w:szCs w:val="24"/>
        </w:rPr>
      </w:pPr>
    </w:p>
    <w:tbl>
      <w:tblPr>
        <w:tblW w:w="7724" w:type="dxa"/>
        <w:jc w:val="center"/>
        <w:tblCellSpacing w:w="0" w:type="dxa"/>
        <w:tblInd w:w="291" w:type="dxa"/>
        <w:shd w:val="clear"/>
        <w:tblLayout w:type="fixed"/>
        <w:tblCellMar>
          <w:top w:w="0" w:type="dxa"/>
          <w:left w:w="0" w:type="dxa"/>
          <w:bottom w:w="0" w:type="dxa"/>
          <w:right w:w="0" w:type="dxa"/>
        </w:tblCellMar>
      </w:tblPr>
      <w:tblGrid>
        <w:gridCol w:w="7724"/>
      </w:tblGrid>
      <w:tr>
        <w:tblPrEx>
          <w:shd w:val="clear"/>
          <w:tblLayout w:type="fixed"/>
        </w:tblPrEx>
        <w:trPr>
          <w:tblCellSpacing w:w="0" w:type="dxa"/>
          <w:jc w:val="center"/>
        </w:trPr>
        <w:tc>
          <w:tcPr>
            <w:tcW w:w="7724" w:type="dxa"/>
            <w:shd w:val="clear"/>
            <w:vAlign w:val="center"/>
          </w:tcPr>
          <w:p>
            <w:pPr>
              <w:keepNext w:val="0"/>
              <w:keepLines w:val="0"/>
              <w:widowControl/>
              <w:suppressLineNumbers w:val="0"/>
              <w:spacing w:line="540" w:lineRule="atLeast"/>
              <w:jc w:val="right"/>
              <w:rPr>
                <w:rFonts w:hint="eastAsia" w:ascii="宋体" w:hAnsi="宋体" w:eastAsia="宋体" w:cs="宋体"/>
                <w:color w:val="005DDC"/>
                <w:sz w:val="18"/>
                <w:szCs w:val="18"/>
              </w:rPr>
            </w:pPr>
            <w:r>
              <w:rPr>
                <w:rFonts w:hint="eastAsia" w:ascii="宋体" w:hAnsi="宋体" w:eastAsia="宋体" w:cs="宋体"/>
                <w:color w:val="005DDC"/>
                <w:kern w:val="0"/>
                <w:sz w:val="18"/>
                <w:szCs w:val="18"/>
                <w:lang w:val="en-US" w:eastAsia="zh-CN" w:bidi="ar"/>
              </w:rPr>
              <w:t>字体： 【</w:t>
            </w:r>
            <w:r>
              <w:rPr>
                <w:rFonts w:hint="eastAsia" w:ascii="宋体" w:hAnsi="宋体" w:eastAsia="宋体" w:cs="宋体"/>
                <w:kern w:val="0"/>
                <w:sz w:val="18"/>
                <w:szCs w:val="18"/>
                <w:lang w:val="en-US" w:eastAsia="zh-CN" w:bidi="ar"/>
              </w:rPr>
              <w:fldChar w:fldCharType="begin"/>
            </w:r>
            <w:r>
              <w:rPr>
                <w:rFonts w:hint="eastAsia" w:ascii="宋体" w:hAnsi="宋体" w:eastAsia="宋体" w:cs="宋体"/>
                <w:kern w:val="0"/>
                <w:sz w:val="18"/>
                <w:szCs w:val="18"/>
                <w:lang w:val="en-US" w:eastAsia="zh-CN" w:bidi="ar"/>
              </w:rPr>
              <w:instrText xml:space="preserve"> HYPERLINK "http://hd.chinatax.gov.cn/guoshui/action/GetArticleView1.do?id=30693&amp;flag=1" </w:instrText>
            </w:r>
            <w:r>
              <w:rPr>
                <w:rFonts w:hint="eastAsia" w:ascii="宋体" w:hAnsi="宋体" w:eastAsia="宋体" w:cs="宋体"/>
                <w:kern w:val="0"/>
                <w:sz w:val="18"/>
                <w:szCs w:val="18"/>
                <w:lang w:val="en-US" w:eastAsia="zh-CN" w:bidi="ar"/>
              </w:rPr>
              <w:fldChar w:fldCharType="separate"/>
            </w:r>
            <w:r>
              <w:rPr>
                <w:rStyle w:val="4"/>
                <w:rFonts w:hint="eastAsia" w:ascii="宋体" w:hAnsi="宋体" w:eastAsia="宋体" w:cs="宋体"/>
                <w:sz w:val="18"/>
                <w:szCs w:val="18"/>
              </w:rPr>
              <w:t>大</w:t>
            </w:r>
            <w:r>
              <w:rPr>
                <w:rFonts w:hint="eastAsia" w:ascii="宋体" w:hAnsi="宋体" w:eastAsia="宋体" w:cs="宋体"/>
                <w:kern w:val="0"/>
                <w:sz w:val="18"/>
                <w:szCs w:val="18"/>
                <w:lang w:val="en-US" w:eastAsia="zh-CN" w:bidi="ar"/>
              </w:rPr>
              <w:fldChar w:fldCharType="end"/>
            </w:r>
            <w:r>
              <w:rPr>
                <w:rFonts w:hint="eastAsia" w:ascii="宋体" w:hAnsi="宋体" w:eastAsia="宋体" w:cs="宋体"/>
                <w:color w:val="005DDC"/>
                <w:kern w:val="0"/>
                <w:sz w:val="18"/>
                <w:szCs w:val="18"/>
                <w:lang w:val="en-US" w:eastAsia="zh-CN" w:bidi="ar"/>
              </w:rPr>
              <w:t>】 【</w:t>
            </w:r>
            <w:r>
              <w:rPr>
                <w:rFonts w:hint="eastAsia" w:ascii="宋体" w:hAnsi="宋体" w:eastAsia="宋体" w:cs="宋体"/>
                <w:kern w:val="0"/>
                <w:sz w:val="18"/>
                <w:szCs w:val="18"/>
                <w:lang w:val="en-US" w:eastAsia="zh-CN" w:bidi="ar"/>
              </w:rPr>
              <w:fldChar w:fldCharType="begin"/>
            </w:r>
            <w:r>
              <w:rPr>
                <w:rFonts w:hint="eastAsia" w:ascii="宋体" w:hAnsi="宋体" w:eastAsia="宋体" w:cs="宋体"/>
                <w:kern w:val="0"/>
                <w:sz w:val="18"/>
                <w:szCs w:val="18"/>
                <w:lang w:val="en-US" w:eastAsia="zh-CN" w:bidi="ar"/>
              </w:rPr>
              <w:instrText xml:space="preserve"> HYPERLINK "http://hd.chinatax.gov.cn/guoshui/action/GetArticleView1.do?id=30693&amp;flag=1" </w:instrText>
            </w:r>
            <w:r>
              <w:rPr>
                <w:rFonts w:hint="eastAsia" w:ascii="宋体" w:hAnsi="宋体" w:eastAsia="宋体" w:cs="宋体"/>
                <w:kern w:val="0"/>
                <w:sz w:val="18"/>
                <w:szCs w:val="18"/>
                <w:lang w:val="en-US" w:eastAsia="zh-CN" w:bidi="ar"/>
              </w:rPr>
              <w:fldChar w:fldCharType="separate"/>
            </w:r>
            <w:r>
              <w:rPr>
                <w:rStyle w:val="4"/>
                <w:rFonts w:hint="eastAsia" w:ascii="宋体" w:hAnsi="宋体" w:eastAsia="宋体" w:cs="宋体"/>
                <w:sz w:val="18"/>
                <w:szCs w:val="18"/>
              </w:rPr>
              <w:t>中</w:t>
            </w:r>
            <w:r>
              <w:rPr>
                <w:rFonts w:hint="eastAsia" w:ascii="宋体" w:hAnsi="宋体" w:eastAsia="宋体" w:cs="宋体"/>
                <w:kern w:val="0"/>
                <w:sz w:val="18"/>
                <w:szCs w:val="18"/>
                <w:lang w:val="en-US" w:eastAsia="zh-CN" w:bidi="ar"/>
              </w:rPr>
              <w:fldChar w:fldCharType="end"/>
            </w:r>
            <w:r>
              <w:rPr>
                <w:rFonts w:hint="eastAsia" w:ascii="宋体" w:hAnsi="宋体" w:eastAsia="宋体" w:cs="宋体"/>
                <w:color w:val="005DDC"/>
                <w:kern w:val="0"/>
                <w:sz w:val="18"/>
                <w:szCs w:val="18"/>
                <w:lang w:val="en-US" w:eastAsia="zh-CN" w:bidi="ar"/>
              </w:rPr>
              <w:t>】 【</w:t>
            </w:r>
            <w:r>
              <w:rPr>
                <w:rFonts w:hint="eastAsia" w:ascii="宋体" w:hAnsi="宋体" w:eastAsia="宋体" w:cs="宋体"/>
                <w:kern w:val="0"/>
                <w:sz w:val="18"/>
                <w:szCs w:val="18"/>
                <w:lang w:val="en-US" w:eastAsia="zh-CN" w:bidi="ar"/>
              </w:rPr>
              <w:fldChar w:fldCharType="begin"/>
            </w:r>
            <w:r>
              <w:rPr>
                <w:rFonts w:hint="eastAsia" w:ascii="宋体" w:hAnsi="宋体" w:eastAsia="宋体" w:cs="宋体"/>
                <w:kern w:val="0"/>
                <w:sz w:val="18"/>
                <w:szCs w:val="18"/>
                <w:lang w:val="en-US" w:eastAsia="zh-CN" w:bidi="ar"/>
              </w:rPr>
              <w:instrText xml:space="preserve"> HYPERLINK "http://hd.chinatax.gov.cn/guoshui/action/GetArticleView1.do?id=30693&amp;flag=1" </w:instrText>
            </w:r>
            <w:r>
              <w:rPr>
                <w:rFonts w:hint="eastAsia" w:ascii="宋体" w:hAnsi="宋体" w:eastAsia="宋体" w:cs="宋体"/>
                <w:kern w:val="0"/>
                <w:sz w:val="18"/>
                <w:szCs w:val="18"/>
                <w:lang w:val="en-US" w:eastAsia="zh-CN" w:bidi="ar"/>
              </w:rPr>
              <w:fldChar w:fldCharType="separate"/>
            </w:r>
            <w:r>
              <w:rPr>
                <w:rStyle w:val="4"/>
                <w:rFonts w:hint="eastAsia" w:ascii="宋体" w:hAnsi="宋体" w:eastAsia="宋体" w:cs="宋体"/>
                <w:sz w:val="18"/>
                <w:szCs w:val="18"/>
              </w:rPr>
              <w:t>小</w:t>
            </w:r>
            <w:r>
              <w:rPr>
                <w:rFonts w:hint="eastAsia" w:ascii="宋体" w:hAnsi="宋体" w:eastAsia="宋体" w:cs="宋体"/>
                <w:kern w:val="0"/>
                <w:sz w:val="18"/>
                <w:szCs w:val="18"/>
                <w:lang w:val="en-US" w:eastAsia="zh-CN" w:bidi="ar"/>
              </w:rPr>
              <w:fldChar w:fldCharType="end"/>
            </w:r>
            <w:r>
              <w:rPr>
                <w:rFonts w:hint="eastAsia" w:ascii="宋体" w:hAnsi="宋体" w:eastAsia="宋体" w:cs="宋体"/>
                <w:color w:val="005DDC"/>
                <w:kern w:val="0"/>
                <w:sz w:val="18"/>
                <w:szCs w:val="18"/>
                <w:lang w:val="en-US" w:eastAsia="zh-CN" w:bidi="ar"/>
              </w:rPr>
              <w:t xml:space="preserve">】 </w:t>
            </w:r>
          </w:p>
        </w:tc>
      </w:tr>
    </w:tbl>
    <w:p>
      <w:pPr>
        <w:rPr>
          <w:vanish/>
          <w:sz w:val="24"/>
          <w:szCs w:val="24"/>
        </w:rPr>
      </w:pPr>
    </w:p>
    <w:tbl>
      <w:tblPr>
        <w:tblW w:w="7890" w:type="dxa"/>
        <w:jc w:val="center"/>
        <w:tblCellSpacing w:w="0" w:type="dxa"/>
        <w:tblInd w:w="208" w:type="dxa"/>
        <w:shd w:val="clear"/>
        <w:tblLayout w:type="fixed"/>
        <w:tblCellMar>
          <w:top w:w="0" w:type="dxa"/>
          <w:left w:w="0" w:type="dxa"/>
          <w:bottom w:w="0" w:type="dxa"/>
          <w:right w:w="0" w:type="dxa"/>
        </w:tblCellMar>
      </w:tblPr>
      <w:tblGrid>
        <w:gridCol w:w="7890"/>
      </w:tblGrid>
      <w:tr>
        <w:tblPrEx>
          <w:shd w:val="clear"/>
          <w:tblLayout w:type="fixed"/>
        </w:tblPrEx>
        <w:trPr>
          <w:tblCellSpacing w:w="0" w:type="dxa"/>
          <w:jc w:val="center"/>
        </w:trPr>
        <w:tc>
          <w:tcPr>
            <w:tcW w:w="7890" w:type="dxa"/>
            <w:shd w:val="clear"/>
            <w:vAlign w:val="center"/>
          </w:tcPr>
          <w:p>
            <w:pPr>
              <w:keepNext w:val="0"/>
              <w:keepLines w:val="0"/>
              <w:widowControl/>
              <w:suppressLineNumbers w:val="0"/>
              <w:spacing w:line="540" w:lineRule="atLeast"/>
              <w:jc w:val="lef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各省、自治区、直辖市和计划单列市国家税务局、地方税务局：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为贯彻落实资源综合利用的企业所得税优惠政策，现就有关管理问题通知如下：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一、本通知所称资源综合利用企业所得税优惠，是指企业自2008年1月1日起以《资源综合利用企业所得税优惠目录（2008年版）》（以下简称《目录》）规定的资源作为主要原材料，生产国家非限制和非禁止并符合国家及行业相关标准的产品取得的收入，减按90%计入企业当年收入总额。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二、经资源综合利用主管部门按《目录》规定认定的生产资</w:t>
            </w:r>
            <w:bookmarkStart w:id="0" w:name="_GoBack"/>
            <w:bookmarkEnd w:id="0"/>
            <w:r>
              <w:rPr>
                <w:rFonts w:hint="eastAsia" w:ascii="宋体" w:hAnsi="宋体" w:eastAsia="宋体" w:cs="宋体"/>
                <w:color w:val="000000"/>
                <w:kern w:val="0"/>
                <w:sz w:val="24"/>
                <w:szCs w:val="24"/>
                <w:lang w:val="en-US" w:eastAsia="zh-CN" w:bidi="ar"/>
              </w:rPr>
              <w:t xml:space="preserve">源综合利用产品的企业（不包括仅对资源综合利用工艺和技术进行认定的企业），取得《资源综合利用认定证书》，可按本通知规定申请享受资源综合利用企业所得税优惠。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三、企业资源综合利用产品的认定程序，按《国家发展改革委财政部国家税务总局关于印发〈国家鼓励的资源综合利用认定管理办法〉的通知》（发改环资〔2006〕1864号）的规定执行。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四、2008年1月1日之前经资源综合利用主管部门认定取得《资源综合利用认定证书》的企业，应按本通知第二条、第三条的规定，重新办理认定并取得《资源综合利用认定证书》，方可申请享受资源综合利用企业所得税优惠。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五、企业从事非资源综合利用项目取得的收入与生产资源综合利用产品取得的收入没有分开核算的，不得享受资源综合利用企业所得税优惠。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六、税务机关对资源综合利用企业所得税优惠实行备案管理。备案管理的具体程序，按照国家税务总局的相关规定执行。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七、享受资源综合利用企业所得税优惠的企业因经营状况发生变化而不符合《目录》规定的条件的，应自发生变化之日起15个工作日内向主管税务机关报告，并停止享受资源综合利用企业所得税优惠。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八、企业实际经营情况不符合《目录》规定条件，采用欺骗等手段获取企业所得税优惠，或者因经营状况发生变化而不符合享受优惠条件，但未及时向主管税务机关报告的，按照税收征管法及其实施细则的有关规定进行处理。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九、税务机关应对企业的实际经营情况进行监督检查。税务机关发现资源综合利用主管部门认定有误的，应停止企业享受资源综合利用企业所得税优惠，并及时与有关认定部门协调沟通，提请纠正，已经享受的优惠税额应予追缴。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 xml:space="preserve">十、各省、自治区、直辖市和计划单列市国家税务局、地方税务局可根据本通知制定具体管理办法。 </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十一、本通知自2008年1月1日起执行。</w:t>
            </w:r>
          </w:p>
          <w:p>
            <w:pPr>
              <w:keepNext w:val="0"/>
              <w:keepLines w:val="0"/>
              <w:widowControl/>
              <w:suppressLineNumbers w:val="0"/>
              <w:spacing w:line="540" w:lineRule="atLeast"/>
              <w:jc w:val="right"/>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国家税务总局</w:t>
            </w:r>
            <w:r>
              <w:rPr>
                <w:rFonts w:hint="eastAsia" w:ascii="宋体" w:hAnsi="宋体" w:eastAsia="宋体" w:cs="宋体"/>
                <w:color w:val="000000"/>
                <w:kern w:val="0"/>
                <w:sz w:val="24"/>
                <w:szCs w:val="24"/>
                <w:lang w:val="en-US" w:eastAsia="zh-CN" w:bidi="ar"/>
              </w:rPr>
              <w:br w:type="textWrapping"/>
            </w:r>
            <w:r>
              <w:rPr>
                <w:rFonts w:hint="eastAsia" w:ascii="宋体" w:hAnsi="宋体" w:eastAsia="宋体" w:cs="宋体"/>
                <w:color w:val="000000"/>
                <w:kern w:val="0"/>
                <w:sz w:val="24"/>
                <w:szCs w:val="24"/>
                <w:lang w:val="en-US" w:eastAsia="zh-CN" w:bidi="ar"/>
              </w:rPr>
              <w:t>二○○九年四月十日</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27EFB"/>
    <w:rsid w:val="24627EF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FollowedHyperlink"/>
    <w:basedOn w:val="2"/>
    <w:uiPriority w:val="0"/>
    <w:rPr>
      <w:color w:val="222222"/>
      <w:sz w:val="18"/>
      <w:szCs w:val="18"/>
      <w:u w:val="none"/>
    </w:rPr>
  </w:style>
  <w:style w:type="character" w:styleId="4">
    <w:name w:val="Hyperlink"/>
    <w:basedOn w:val="2"/>
    <w:uiPriority w:val="0"/>
    <w:rPr>
      <w:color w:val="222222"/>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2016-05-18T00:31:00Z</dcterms:created>
  <dc:creator>Administrator</dc:creator>
  <cp:lastModifiedBy>Administrator</cp:lastModifiedBy>
  <dcterms:modified xsi:type="dcterms:W3CDTF">2016-05-18T00:32:59Z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