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44"/>
          <w:szCs w:val="44"/>
        </w:rPr>
        <w:t>温馨提示</w:t>
      </w:r>
    </w:p>
    <w:p>
      <w:pPr>
        <w:jc w:val="left"/>
        <w:rPr>
          <w:rFonts w:hint="eastAsia" w:ascii="宋体"/>
          <w:szCs w:val="21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尊敬的纳税人：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请您在发布简易注销公告前，认真阅读、了解以下内容：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一、如果您已开展生产经营活动，请您及时到税务机关结清应纳税款、缴销发票及办理其他清税手续。如果您在公告期届满时未完成注销清税手续的，税务机关将向企业登记机关提出异议。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二、按照企业简易注销登记改革相关规定，自公告期届满次日起，未被提出异议的企业，除应尽未尽的义务外（如申报纳税），不得持营业执照办理相关涉税事宜。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符合以下情形的企业，可正常办理涉税事宜：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（一）已撤销简易注销公告的；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（二）已向企业登记机关提出简易注销申请，企业登记机关依法作出不予简易注销决定的。</w:t>
      </w:r>
    </w:p>
    <w:p>
      <w:pPr>
        <w:ind w:firstLine="5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如果您在办理简易注销过程中有任何疑问，请与您的主管税务机关或者企业登记机关联系。</w:t>
      </w:r>
    </w:p>
    <w:p>
      <w:pPr>
        <w:spacing w:line="360" w:lineRule="auto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3243E"/>
    <w:rsid w:val="25B3243E"/>
    <w:rsid w:val="707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2018-01-23T06:28:00Z</dcterms:created>
  <dc:creator>user</dc:creator>
  <cp:lastModifiedBy>浅浅荏苒</cp:lastModifiedBy>
  <dcterms:modified xsi:type="dcterms:W3CDTF">2018-03-31T07:39:05Z</dcterms:modified>
  <dc:title>附件3            温馨提示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