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附件2：</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center"/>
        <w:rPr>
          <w:rFonts w:hint="eastAsia" w:ascii="宋体" w:hAnsi="宋体" w:eastAsia="宋体" w:cs="宋体"/>
          <w:color w:val="000000"/>
          <w:sz w:val="24"/>
          <w:szCs w:val="24"/>
        </w:rPr>
      </w:pPr>
      <w:r>
        <w:rPr>
          <w:rStyle w:val="3"/>
          <w:rFonts w:hint="eastAsia" w:ascii="宋体" w:hAnsi="宋体" w:eastAsia="宋体" w:cs="宋体"/>
          <w:color w:val="000000"/>
          <w:kern w:val="0"/>
          <w:sz w:val="24"/>
          <w:szCs w:val="24"/>
          <w:lang w:val="en-US" w:eastAsia="zh-CN" w:bidi="ar"/>
        </w:rPr>
        <w:t>交通运输业和部分现代服务业营业税改征增值税试点有关事项的规定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一、试点纳税人[指按照《交通运输业和部分现代服务业营业税改征增值税试点实施办法》(以下称《试点实施办法》)缴纳增值税的纳税人]有关政策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（一）混业经营。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试点纳税人兼有不同税率或者征收率的销售货物、提供加工修理修配劳务或者应税服务的，应当分别核算适用不同税率或征收率的销售额，未分别核算销售额的，按照以下方法适用税率或征收率：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1．兼有不同税率的销售货物、提供加工修理修配劳务或者应税服务的，从高适用税率。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2．兼有不同征收率的销售货物、提供加工修理修配劳务或者应税服务的，从高适用征收率。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3．兼有不同税率和征收率</w:t>
      </w:r>
      <w:bookmarkStart w:id="0" w:name="_GoBack"/>
      <w:bookmarkEnd w:id="0"/>
      <w:r>
        <w:rPr>
          <w:rFonts w:hint="eastAsia" w:ascii="宋体" w:hAnsi="宋体" w:eastAsia="宋体" w:cs="宋体"/>
          <w:color w:val="000000"/>
          <w:kern w:val="0"/>
          <w:sz w:val="24"/>
          <w:szCs w:val="24"/>
          <w:lang w:val="en-US" w:eastAsia="zh-CN" w:bidi="ar"/>
        </w:rPr>
        <w:t>的销售货物、提供加工修理修配劳务或者应税服务的，从高适用税率。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（二）油气田企业。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油气田企业提供的应税服务，适用《试点实施办法》规定的增值税税率，不再适用《财政部国家税务总局关于印发&lt;油气田企业增值税管理办法&gt;的通知》（财税〔2009〕8号）规定的增值税税率。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（三）航空运输企业。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 航空运输企业提供的旅客利用里程积分兑换的航空运输服务，不征收增值税。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航空运输企业根据国家指令无偿提供的航空运输服务，属于《试点实施办法》第十一条规定的以公益活动为目的的服务，不征收增值税。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3.航空运输企业的应征增值税销售额不包括代收的机场建设费和代售其他航空运输企业客票而代收转付的价款。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4.航空运输企业已售票但未提供航空运输服务取得的逾期票证收入，不属于增值税应税收入，不征收增值税。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经中国人民银行、商务部、银监会批准从事融资租赁业务的试点纳税人提供有形动产融资租赁服务，以取得的全部价款和价外费用（包括残值）扣除由出租方承担的有形动产的贷款利息（包括外汇借款和人民币借款利息）、关税、进口环节消费税、安装费、保险费的余额为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试点纳税人从全部价款和价外费用中扣除价款，应当取得符合法律、行政法规和国家税务总局有关规定的有效凭证。否则，不得扣除。</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上述凭证是指：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1.支付给境内单位或者个人的款项，以发票为合法有效凭证。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2.缴纳的税款，以完税凭证为合法有效凭证。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3.支付给境外单位或者个人的款项，以该单位或者个人的签收单据为合法有效凭证，税务机关对签收单据有疑议的，可以要求其提供境外公证机构的确认证明。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4.国家税务总局规定的其他凭证。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（五）试点纳税人取得的2013年8月1日（含）以后开具的运输费用结算单据（铁路运输费用结算单据除外），不得作为增值税扣税凭证。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（六）一般纳税人资格认定。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《试点实施办法》第三条规定的应税服务年销售额标准为500万元（含本数）。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财政部和国家税务总局可以根据试点情况对应税服务年销售额标准进行调整。</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（七）计税方法。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试点纳税人中的一般纳税人提供的公共交通运输服务，可以选择按照简易计税方法计算缴纳增值税。公共交通运输服务，包括轮客渡、公交客运、轨道交通（含地铁、城市轻轨）、出租车、长途客运、班车。其中，班车，是指按固定路线、固定时间运营并在固定站点停靠的运送旅客的陆路运输。</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2.试点纳税人中的一般纳税人，以该地区试点实施之日前购进或者自制的有形动产为标的物提供的经营租赁服务，试点期间可以选择适用简易计税方法计算缴纳增值税。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3.试点纳税人中的一般纳税人兼有销售货物、提供加工修理修配劳务的，凡未规定可以选择按照简易计税方法计算缴纳增值税的，其全部销售额应一并按照一般计税方法计算缴纳增值税。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（八）试点前发生的业务。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1.试点纳税人在本地区试点实施之日前签订的尚未执行完毕的租赁合同，在合同到期日之前继续按照现行营业税政策规定缴纳营业税。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试点纳税人按照本条第（八）项中第1点规定继续缴纳营业税的有形动产租赁服务，不适用本项规定。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3.试点纳税人提供应税服务在本地区试点实施之日前已缴纳营业税，本地区试点实施之日（含）后因发生退款减除营业额的，应当向主管税务机关申请退还已缴纳的营业税。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4.试点纳税人本地区试点实施之日前提供的应税服务，因税收检查等原因需要补缴税款的，应按照现行营业税政策规定补缴营业税。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（九）销售使用过的固定资产。</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按照《试点实施办法》和本规定认定的一般纳税人，销售自己使用过的本地区试点实施之日（含）以后购进或自制的固定资产，按照适用税率征收增值税；销售自己使用过的本地区试点实施之日以前购进或者自制的固定资产，按照4%征收率减半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使用过的固定资产，是指纳税人根据财务会计制度已经计提折旧的固定资产。</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（十）扣缴增值税适用税率。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境内的代理人和接受方为境外单位和个人扣缴增值税的，按照适用税率扣缴增值税。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二、原增值税纳税人[指按照《中华人民共和国增值税暂行条例》(以下称《增值税暂行条例》)缴纳增值税的纳税人]有关政策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（一）进项税额。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1．原增值税一般纳税人接受试点纳税人提供的应税服务，取得的增值税专用发票上注明的增值税额为进项税额，准予从销项税额中抵扣。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原增值税一般纳税人自用的应征消费税的摩托车、汽车、游艇，其进项税额准予从销项税额中抵扣。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原增值税一般纳税人接受境外单位或者个人提供的应税服务，按照规定应当扣缴增值税的，准予从销项税额中抵扣的进项税额为从税务机关或者代理人取得的解缴税款的中华人民共和国税收缴款凭证（以下称税收缴款凭证）上注明的增值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上述纳税人凭税收缴款凭证抵扣进项税额的，应当具备书面合同、付款证明和境外单位的对账单或者发票。否则，进项税额不得从销项税额中抵扣。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4．原增值税一般纳税人购进货物或者接受加工修理修配劳务，用于《应税服务范围注释》所列项目的，不属于《增值税暂行条例》第十条所称的用于非增值税应税项目，其进项税额准予从销项税额中抵扣。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5．原增值税一般纳税人接受试点纳税人提供的应税服务，下列项目的进项税额不得从销项税额中抵扣：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（2）接受的旅客运输服务。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（3）与非正常损失的购进货物相关的交通运输业服务。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（4）与非正常损失的在产品、产成品所耗用购进货物相关的交通运输业服务。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上述非增值税应税项目，是指《增值税暂行条例》第十条所称的非增值税应税项目，但不包括《应税服务范围注释》所列项目。</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6．原增值税一般纳税人取得的2013年8月1日（含）以后开具的运输费用结算单据（铁路运输费用结算单据除外），不得作为增值税扣税凭证。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原增值税一般纳税人取得的试点小规模纳税人由税务机关代开的增值税专用发票，按增值税专用发票注明的税额抵扣进项税额。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（二）一般纳税人认定。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原增值税一般纳税人兼有应税服务，按照《试点实施办法》和本规定第一条第（六）项的规定应当申请认定一般纳税人的，不需要重新办理一般纳税人认定手续。</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（三）增值税期末留抵税额。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原增值税一般纳税人兼有应税服务的，截止到本地区试点实施之日前的增值税期末留抵税额，不得从应税服务的销项税额中抵扣。</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35605"/>
    <w:rsid w:val="0BF356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22222"/>
      <w:sz w:val="18"/>
      <w:szCs w:val="18"/>
      <w:u w:val="none"/>
    </w:rPr>
  </w:style>
  <w:style w:type="character" w:styleId="5">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2016-05-09T02:29:00Z</dcterms:created>
  <dc:creator>12509</dc:creator>
  <cp:lastModifiedBy>12509</cp:lastModifiedBy>
  <dcterms:modified xsi:type="dcterms:W3CDTF">2016-05-09T02:36:26Z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