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W w:w="7724" w:type="dxa"/>
        <w:jc w:val="center"/>
        <w:tblCellSpacing w:w="0" w:type="dxa"/>
        <w:tblInd w:w="291" w:type="dxa"/>
        <w:shd w:val="clear"/>
        <w:tblLayout w:type="fixed"/>
        <w:tblCellMar>
          <w:top w:w="0" w:type="dxa"/>
          <w:left w:w="0" w:type="dxa"/>
          <w:bottom w:w="0" w:type="dxa"/>
          <w:right w:w="0" w:type="dxa"/>
        </w:tblCellMar>
      </w:tblPr>
      <w:tblGrid>
        <w:gridCol w:w="7724"/>
      </w:tblGrid>
      <w:tr>
        <w:tblPrEx>
          <w:shd w:val="clear"/>
          <w:tblLayout w:type="fixed"/>
          <w:tblCellMar>
            <w:top w:w="0" w:type="dxa"/>
            <w:left w:w="0" w:type="dxa"/>
            <w:bottom w:w="0" w:type="dxa"/>
            <w:right w:w="0" w:type="dxa"/>
          </w:tblCellMar>
        </w:tblPrEx>
        <w:trPr>
          <w:tblCellSpacing w:w="0" w:type="dxa"/>
          <w:jc w:val="center"/>
        </w:trPr>
        <w:tc>
          <w:tcPr>
            <w:tcW w:w="7724" w:type="dxa"/>
            <w:shd w:val="clear"/>
            <w:vAlign w:val="center"/>
          </w:tcPr>
          <w:p>
            <w:pPr>
              <w:keepNext w:val="0"/>
              <w:keepLines w:val="0"/>
              <w:widowControl/>
              <w:suppressLineNumbers w:val="0"/>
              <w:spacing w:line="300" w:lineRule="atLeast"/>
              <w:jc w:val="center"/>
              <w:rPr>
                <w:rFonts w:hint="eastAsia" w:ascii="宋体" w:hAnsi="宋体" w:eastAsia="宋体" w:cs="宋体"/>
                <w:b/>
                <w:color w:val="454545"/>
                <w:sz w:val="24"/>
                <w:szCs w:val="24"/>
              </w:rPr>
            </w:pPr>
            <w:r>
              <w:rPr>
                <w:rFonts w:hint="eastAsia" w:ascii="宋体" w:hAnsi="宋体" w:eastAsia="宋体" w:cs="宋体"/>
                <w:b/>
                <w:color w:val="454545"/>
                <w:kern w:val="0"/>
                <w:sz w:val="27"/>
                <w:szCs w:val="27"/>
                <w:lang w:val="en-US" w:eastAsia="zh-CN" w:bidi="ar"/>
              </w:rPr>
              <w:t>财政部 国家税务总局关于保险公司开办一年期以上返还性人身</w:t>
            </w:r>
            <w:bookmarkStart w:id="0" w:name="_GoBack"/>
            <w:bookmarkEnd w:id="0"/>
            <w:r>
              <w:rPr>
                <w:rFonts w:hint="eastAsia" w:ascii="宋体" w:hAnsi="宋体" w:eastAsia="宋体" w:cs="宋体"/>
                <w:b/>
                <w:color w:val="454545"/>
                <w:kern w:val="0"/>
                <w:sz w:val="27"/>
                <w:szCs w:val="27"/>
                <w:lang w:val="en-US" w:eastAsia="zh-CN" w:bidi="ar"/>
              </w:rPr>
              <w:t xml:space="preserve">保险业务免征营业税的通知 </w:t>
            </w:r>
            <w:r>
              <w:rPr>
                <w:rFonts w:hint="eastAsia" w:ascii="宋体" w:hAnsi="宋体" w:eastAsia="宋体" w:cs="宋体"/>
                <w:b/>
                <w:color w:val="454545"/>
                <w:kern w:val="0"/>
                <w:sz w:val="24"/>
                <w:szCs w:val="24"/>
                <w:lang w:val="en-US" w:eastAsia="zh-CN" w:bidi="ar"/>
              </w:rPr>
              <w:t xml:space="preserve">  </w:t>
            </w:r>
          </w:p>
        </w:tc>
      </w:tr>
      <w:tr>
        <w:tblPrEx>
          <w:tblLayout w:type="fixed"/>
          <w:tblCellMar>
            <w:top w:w="0" w:type="dxa"/>
            <w:left w:w="0" w:type="dxa"/>
            <w:bottom w:w="0" w:type="dxa"/>
            <w:right w:w="0" w:type="dxa"/>
          </w:tblCellMar>
        </w:tblPrEx>
        <w:trPr>
          <w:trHeight w:val="241" w:hRule="atLeast"/>
          <w:tblCellSpacing w:w="0" w:type="dxa"/>
          <w:jc w:val="center"/>
        </w:trPr>
        <w:tc>
          <w:tcPr>
            <w:tcW w:w="7724" w:type="dxa"/>
            <w:shd w:val="clear"/>
            <w:vAlign w:val="center"/>
          </w:tcPr>
          <w:p>
            <w:pPr>
              <w:keepNext w:val="0"/>
              <w:keepLines w:val="0"/>
              <w:widowControl/>
              <w:suppressLineNumbers w:val="0"/>
              <w:spacing w:line="300" w:lineRule="atLeast"/>
            </w:pPr>
            <w:r>
              <w:rPr>
                <w:sz w:val="24"/>
                <w:szCs w:val="24"/>
              </w:rPr>
              <w:pict>
                <v:rect id="_x0000_i1025" o:spt="1" style="height:0.75pt;width:401.75pt;" fillcolor="#A0A0A0" filled="t" stroked="f" coordsize="21600,21600" o:hr="t" o:hrstd="t" o:hralign="center">
                  <v:path/>
                  <v:fill on="t" focussize="0,0"/>
                  <v:stroke on="f"/>
                  <v:imagedata o:title=""/>
                  <o:lock v:ext="edit"/>
                  <w10:wrap type="none"/>
                  <w10:anchorlock/>
                </v:rect>
              </w:pict>
            </w:r>
          </w:p>
        </w:tc>
      </w:tr>
      <w:tr>
        <w:tblPrEx>
          <w:tblLayout w:type="fixed"/>
          <w:tblCellMar>
            <w:top w:w="0" w:type="dxa"/>
            <w:left w:w="0" w:type="dxa"/>
            <w:bottom w:w="0" w:type="dxa"/>
            <w:right w:w="0" w:type="dxa"/>
          </w:tblCellMar>
        </w:tblPrEx>
        <w:trPr>
          <w:trHeight w:val="375" w:hRule="atLeast"/>
          <w:tblCellSpacing w:w="0" w:type="dxa"/>
          <w:jc w:val="center"/>
        </w:trPr>
        <w:tc>
          <w:tcPr>
            <w:tcW w:w="7724" w:type="dxa"/>
            <w:shd w:val="clear"/>
            <w:vAlign w:val="center"/>
          </w:tcPr>
          <w:p>
            <w:pPr>
              <w:keepNext w:val="0"/>
              <w:keepLines w:val="0"/>
              <w:widowControl/>
              <w:suppressLineNumbers w:val="0"/>
              <w:spacing w:line="540" w:lineRule="atLeast"/>
              <w:jc w:val="center"/>
              <w:rPr>
                <w:rFonts w:hint="eastAsia" w:ascii="宋体" w:hAnsi="宋体" w:eastAsia="宋体" w:cs="宋体"/>
                <w:b/>
                <w:color w:val="DF0000"/>
                <w:sz w:val="18"/>
                <w:szCs w:val="18"/>
              </w:rPr>
            </w:pPr>
            <w:r>
              <w:rPr>
                <w:rFonts w:hint="eastAsia" w:ascii="宋体" w:hAnsi="宋体" w:eastAsia="宋体" w:cs="宋体"/>
                <w:b/>
                <w:color w:val="DF0000"/>
                <w:kern w:val="0"/>
                <w:sz w:val="18"/>
                <w:szCs w:val="18"/>
                <w:lang w:val="en-US" w:eastAsia="zh-CN" w:bidi="ar"/>
              </w:rPr>
              <w:t>财税〔2005〕21号 </w:t>
            </w:r>
          </w:p>
        </w:tc>
      </w:tr>
      <w:tr>
        <w:tblPrEx>
          <w:tblLayout w:type="fixed"/>
          <w:tblCellMar>
            <w:top w:w="0" w:type="dxa"/>
            <w:left w:w="0" w:type="dxa"/>
            <w:bottom w:w="0" w:type="dxa"/>
            <w:right w:w="0" w:type="dxa"/>
          </w:tblCellMar>
        </w:tblPrEx>
        <w:trPr>
          <w:tblCellSpacing w:w="0" w:type="dxa"/>
          <w:jc w:val="center"/>
        </w:trPr>
        <w:tc>
          <w:tcPr>
            <w:tcW w:w="7724" w:type="dxa"/>
            <w:shd w:val="clear"/>
            <w:vAlign w:val="center"/>
          </w:tcPr>
          <w:p>
            <w:pPr>
              <w:keepNext w:val="0"/>
              <w:keepLines w:val="0"/>
              <w:widowControl/>
              <w:suppressLineNumbers w:val="0"/>
              <w:spacing w:line="540" w:lineRule="atLeast"/>
              <w:jc w:val="right"/>
              <w:rPr>
                <w:rFonts w:hint="eastAsia" w:ascii="宋体" w:hAnsi="宋体" w:eastAsia="宋体" w:cs="宋体"/>
                <w:color w:val="005DDC"/>
                <w:sz w:val="18"/>
                <w:szCs w:val="18"/>
              </w:rPr>
            </w:pPr>
            <w:r>
              <w:rPr>
                <w:rFonts w:hint="eastAsia" w:ascii="宋体" w:hAnsi="宋体" w:eastAsia="宋体" w:cs="宋体"/>
                <w:color w:val="FF0000"/>
                <w:kern w:val="0"/>
                <w:sz w:val="18"/>
                <w:szCs w:val="18"/>
                <w:lang w:val="en-US" w:eastAsia="zh-CN" w:bidi="ar"/>
              </w:rPr>
              <w:t>全文有效</w:t>
            </w:r>
            <w:r>
              <w:rPr>
                <w:rFonts w:hint="eastAsia" w:ascii="宋体" w:hAnsi="宋体" w:eastAsia="宋体" w:cs="宋体"/>
                <w:color w:val="005DDC"/>
                <w:kern w:val="0"/>
                <w:sz w:val="18"/>
                <w:szCs w:val="18"/>
                <w:lang w:val="en-US" w:eastAsia="zh-CN" w:bidi="ar"/>
              </w:rPr>
              <w:t>   成文日期：2005-02-02</w:t>
            </w:r>
          </w:p>
        </w:tc>
      </w:tr>
      <w:tr>
        <w:tblPrEx>
          <w:shd w:val="clear"/>
          <w:tblLayout w:type="fixed"/>
          <w:tblCellMar>
            <w:top w:w="0" w:type="dxa"/>
            <w:left w:w="0" w:type="dxa"/>
            <w:bottom w:w="0" w:type="dxa"/>
            <w:right w:w="0" w:type="dxa"/>
          </w:tblCellMar>
        </w:tblPrEx>
        <w:trPr>
          <w:tblCellSpacing w:w="0" w:type="dxa"/>
          <w:jc w:val="center"/>
        </w:trPr>
        <w:tc>
          <w:tcPr>
            <w:tcW w:w="7724" w:type="dxa"/>
            <w:shd w:val="clear"/>
            <w:tcMar>
              <w:top w:w="45" w:type="dxa"/>
            </w:tcMar>
            <w:vAlign w:val="center"/>
          </w:tcPr>
          <w:p>
            <w:pPr>
              <w:keepNext w:val="0"/>
              <w:keepLines w:val="0"/>
              <w:widowControl/>
              <w:suppressLineNumbers w:val="0"/>
              <w:spacing w:line="270" w:lineRule="atLeast"/>
              <w:jc w:val="center"/>
              <w:rPr>
                <w:rFonts w:hint="eastAsia" w:ascii="宋体" w:hAnsi="宋体" w:eastAsia="宋体" w:cs="宋体"/>
                <w:b/>
                <w:color w:val="111111"/>
                <w:sz w:val="19"/>
                <w:szCs w:val="19"/>
              </w:rPr>
            </w:pPr>
            <w:r>
              <w:rPr>
                <w:rFonts w:hint="eastAsia" w:ascii="宋体" w:hAnsi="宋体" w:eastAsia="宋体" w:cs="宋体"/>
                <w:b/>
                <w:color w:val="111111"/>
                <w:kern w:val="0"/>
                <w:sz w:val="19"/>
                <w:szCs w:val="19"/>
                <w:lang w:val="en-US" w:eastAsia="zh-CN" w:bidi="ar"/>
              </w:rPr>
              <w:t xml:space="preserve">  </w:t>
            </w:r>
          </w:p>
        </w:tc>
      </w:tr>
    </w:tbl>
    <w:p>
      <w:pPr>
        <w:rPr>
          <w:vanish/>
          <w:sz w:val="24"/>
          <w:szCs w:val="24"/>
        </w:rPr>
      </w:pPr>
    </w:p>
    <w:p>
      <w:pPr>
        <w:rPr>
          <w:vanish/>
          <w:sz w:val="24"/>
          <w:szCs w:val="24"/>
        </w:rPr>
      </w:pPr>
    </w:p>
    <w:tbl>
      <w:tblPr>
        <w:tblW w:w="7890" w:type="dxa"/>
        <w:jc w:val="center"/>
        <w:tblCellSpacing w:w="0" w:type="dxa"/>
        <w:tblInd w:w="208" w:type="dxa"/>
        <w:shd w:val="clear"/>
        <w:tblLayout w:type="fixed"/>
        <w:tblCellMar>
          <w:top w:w="0" w:type="dxa"/>
          <w:left w:w="0" w:type="dxa"/>
          <w:bottom w:w="0" w:type="dxa"/>
          <w:right w:w="0" w:type="dxa"/>
        </w:tblCellMar>
      </w:tblPr>
      <w:tblGrid>
        <w:gridCol w:w="7890"/>
      </w:tblGrid>
      <w:tr>
        <w:tblPrEx>
          <w:shd w:val="clear"/>
          <w:tblLayout w:type="fixed"/>
          <w:tblCellMar>
            <w:top w:w="0" w:type="dxa"/>
            <w:left w:w="0" w:type="dxa"/>
            <w:bottom w:w="0" w:type="dxa"/>
            <w:right w:w="0" w:type="dxa"/>
          </w:tblCellMar>
        </w:tblPrEx>
        <w:trPr>
          <w:tblCellSpacing w:w="0" w:type="dxa"/>
          <w:jc w:val="center"/>
        </w:trPr>
        <w:tc>
          <w:tcPr>
            <w:tcW w:w="7890" w:type="dxa"/>
            <w:shd w:val="clear"/>
            <w:vAlign w:val="center"/>
          </w:tcPr>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各省、自治区、直辖市、计划单列市财政厅（局）、地方税务局、新疆生产建设兵团财务局：</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部分地区税务机关和有关保险公司要求对保险公司新开办的一年期以上（包括一年期，下同）返还本利的普通人寿保险、养老年金保险以及一年期以上健康保险产品免征营业税，经研究，现通知如下：</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根据财政部、国家税务总局《关于对若干项目免征营业税的通知》[（94）财税字第2号]和《财政部、国家税务总局关于人寿保险业务免征营业税若干问题的通知》（财税〔2001〕118号）的有关规定，经审核，决定对有关保险公司开办的符合免税条件的保险产品取得的保费收入免征营业税，具体免税保险产品清单见附件。</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附件：免征营业税的具体保险产品清单</w:t>
            </w:r>
          </w:p>
          <w:p>
            <w:pPr>
              <w:keepNext w:val="0"/>
              <w:keepLines w:val="0"/>
              <w:widowControl/>
              <w:suppressLineNumbers w:val="0"/>
              <w:spacing w:after="240" w:afterAutospacing="0" w:line="540" w:lineRule="atLeast"/>
              <w:jc w:val="left"/>
              <w:rPr>
                <w:rFonts w:hint="eastAsia" w:ascii="宋体" w:hAnsi="宋体" w:eastAsia="宋体" w:cs="宋体"/>
                <w:color w:val="000000"/>
                <w:sz w:val="24"/>
                <w:szCs w:val="24"/>
              </w:rPr>
            </w:pP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w:t>
            </w:r>
            <w:r>
              <w:rPr>
                <w:rFonts w:hint="eastAsia" w:ascii="宋体" w:hAnsi="宋体" w:eastAsia="宋体" w:cs="宋体"/>
                <w:b/>
                <w:color w:val="000000"/>
                <w:kern w:val="0"/>
                <w:sz w:val="24"/>
                <w:szCs w:val="24"/>
                <w:lang w:val="en-US" w:eastAsia="zh-CN" w:bidi="ar"/>
              </w:rPr>
              <w:t>附件：</w:t>
            </w:r>
          </w:p>
          <w:p>
            <w:pPr>
              <w:keepNext w:val="0"/>
              <w:keepLines w:val="0"/>
              <w:widowControl/>
              <w:suppressLineNumbers w:val="0"/>
              <w:spacing w:line="620" w:lineRule="atLeast"/>
              <w:jc w:val="center"/>
              <w:rPr>
                <w:rFonts w:ascii="黑体" w:hAnsi="宋体" w:eastAsia="黑体" w:cs="黑体"/>
                <w:color w:val="000000"/>
                <w:sz w:val="32"/>
                <w:szCs w:val="32"/>
              </w:rPr>
            </w:pPr>
            <w:r>
              <w:rPr>
                <w:rFonts w:hint="eastAsia" w:ascii="黑体" w:hAnsi="宋体" w:eastAsia="黑体" w:cs="黑体"/>
                <w:color w:val="000000"/>
                <w:kern w:val="0"/>
                <w:sz w:val="32"/>
                <w:szCs w:val="32"/>
                <w:lang w:val="en-US" w:eastAsia="zh-CN" w:bidi="ar"/>
              </w:rPr>
              <w:t>免征营业税的具体保险产品清单</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w:t>
            </w:r>
            <w:r>
              <w:rPr>
                <w:rFonts w:hint="eastAsia" w:ascii="宋体" w:hAnsi="宋体" w:eastAsia="宋体" w:cs="宋体"/>
                <w:b/>
                <w:color w:val="000000"/>
                <w:kern w:val="0"/>
                <w:sz w:val="24"/>
                <w:szCs w:val="24"/>
                <w:lang w:val="en-US" w:eastAsia="zh-CN" w:bidi="ar"/>
              </w:rPr>
              <w:t>一、中国平安人寿保险股份有限公司</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1.平安团体定期寿险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2.平安幸福定期保险（A）（1999）</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3.平安幸福定期保险（B）（1999）</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4.平安聚宝盆两全保险（A）</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5.平安聚宝盆两全保险（B）</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6.平安智富人生终身寿险（万能型，A）</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7.平安智富人生终身寿险（万能型，B）</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8.平安附加定期寿险（2000）</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9.养老金保险（利差返还型）</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10.平安如意久久团体年金保险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11.平安学生一年定期寿险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12.平安团体一年定期寿险（9906）</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13.平安团体重大疾病保险（B款）</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14.平安重大疾病住院津贴团体收入保障保险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w:t>
            </w:r>
            <w:r>
              <w:rPr>
                <w:rFonts w:hint="eastAsia" w:ascii="宋体" w:hAnsi="宋体" w:eastAsia="宋体" w:cs="宋体"/>
                <w:b/>
                <w:color w:val="000000"/>
                <w:kern w:val="0"/>
                <w:sz w:val="24"/>
                <w:szCs w:val="24"/>
                <w:lang w:val="en-US" w:eastAsia="zh-CN" w:bidi="ar"/>
              </w:rPr>
              <w:t>二、中国太平洋人寿保险公司</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1.红葵花少儿两全保险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2.团体年金乙款</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3.管理式团体健康保险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4.利好多两全保险（A款）</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5.利好多两全保险（B款）</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6.团体人身保险（1999年6月）</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7.师生团体人身保险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8.利好多两全保险（C款）</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9.太平盛世·长发两全保险（万能型）</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10.红利发两全保险（分红型）</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11.小康之家·金玉满堂两全保险（分红型）</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12.世纪红两全保险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13.睿恒企业年金团体投资连结保险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14.鸿福来年金保险（A款）</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15.鸿福来年金保险（B款）</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16.鸿福来年金保险（C款）</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17.保险金转换年金保险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18.步步高增额附加养老保险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19.太平安康寿险（B款）</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20.学有所成返利综合保险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21.幸福人生递增终身寿险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w:t>
            </w:r>
            <w:r>
              <w:rPr>
                <w:rFonts w:hint="eastAsia" w:ascii="宋体" w:hAnsi="宋体" w:eastAsia="宋体" w:cs="宋体"/>
                <w:b/>
                <w:color w:val="000000"/>
                <w:kern w:val="0"/>
                <w:sz w:val="24"/>
                <w:szCs w:val="24"/>
                <w:lang w:val="en-US" w:eastAsia="zh-CN" w:bidi="ar"/>
              </w:rPr>
              <w:t>三、中国人寿保险股份有限公司</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1.国寿保险金转换年金保险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2.国寿永泰团体年金保险（分红型）</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3.国寿相伴永远养老年金保险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4.国寿幸福之家两全保险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5.国寿幸福相伴定期寿险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6.国寿安泰团体定期寿险（2004版）</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7.国寿公安干警团体定期寿险（2004版）</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8.国寿鸿丰两全保险（分红型）</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9.国寿鸿禧年金保险（分红型）</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10.国寿裕鑫两全保险（分红型）</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11.国寿康友住院费用医疗保险（A型）</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12.国寿康友住院费用医疗保险（B型）</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13.国寿团体补充医疗保险（A型）</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14.国寿团体补充医疗保险（B型）</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15.国寿团体重大疾病保险（2004版）</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16.国寿康恒重大疾病保险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17.国寿附加康馨重大疾病保险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18.国寿附加康馨少儿重大疾病保险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w:t>
            </w:r>
            <w:r>
              <w:rPr>
                <w:rFonts w:hint="eastAsia" w:ascii="宋体" w:hAnsi="宋体" w:eastAsia="宋体" w:cs="宋体"/>
                <w:b/>
                <w:color w:val="000000"/>
                <w:kern w:val="0"/>
                <w:sz w:val="24"/>
                <w:szCs w:val="24"/>
                <w:lang w:val="en-US" w:eastAsia="zh-CN" w:bidi="ar"/>
              </w:rPr>
              <w:t>四、美国友邦保险有限公司北京分公司</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1.友邦防癌疾病保险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2.友邦附加安康保重大疾病保险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3.友邦附加世纪英才十八周岁储备金两全保险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4.友邦附加世纪英才十九周岁储备金两全保险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5.友邦附加世纪英才二十周岁储备金两全保险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6.友邦附加世纪英才二十一周岁储备金两全保险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7.友邦附加世纪英才二十二周岁储备金两全保险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8.友邦附加世纪英才二十三周岁储备金两全保险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9.友邦附加世纪英才二十四周岁储备金两全保险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10.友邦附加世纪英才二十五周岁储备金两全保险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11.友邦附加世纪英才三十周岁储备金两全保险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12.友邦附加守御神六十周岁重大疾病保险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13.友邦附加守御神六十五周岁重大疾病保险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14.友邦守御神重大疾病保险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15.友邦利多宝终身寿险（万能型）</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16.友邦附加智尊宝儿童豁免基本保险费定期寿险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17.友邦聚宝盆两全保险（分红型）</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18.友邦附加十八岁豁免保险费定期寿险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19.友邦附加十九岁豁免保险费定期寿险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20.友邦附加二十岁豁免保险费定期寿险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21.友邦附加二十一岁豁免保险费定期寿险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22.友邦附加二十二岁豁免保险费定期寿险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23.友邦附加二十三岁豁免保险费定期寿险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24.友邦附加二十四岁豁免保险费定期寿险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25.友邦附加二十五岁豁免保险费定期寿险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26.友邦附加三十岁豁免保险费定期寿险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27.友邦御防宝疾病保险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28.友邦附加防癌疾病保险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29.友邦世纪英才两全保险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30.友邦五年期理财宝保证续保两全保险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31.友邦养颐保六十周岁两全保险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32.友邦养颐保六十五周岁两全保险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w:t>
            </w:r>
            <w:r>
              <w:rPr>
                <w:rFonts w:hint="eastAsia" w:ascii="宋体" w:hAnsi="宋体" w:eastAsia="宋体" w:cs="宋体"/>
                <w:b/>
                <w:color w:val="000000"/>
                <w:kern w:val="0"/>
                <w:sz w:val="24"/>
                <w:szCs w:val="24"/>
                <w:lang w:val="en-US" w:eastAsia="zh-CN" w:bidi="ar"/>
              </w:rPr>
              <w:t>五、美国友邦保险有限公司广州分公司</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1.友邦聚宝盆两全保险（分红型）</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2.友邦附加十八岁豁免保险费定期寿险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3.友邦附加十九岁豁免保险费定期寿险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4.友邦附加二十岁豁免保险费定期寿险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5.友邦附加二十一岁豁免保险费定期寿险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6.友邦附加二十二岁豁免保险费定期寿险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7.友邦附加二十三岁豁免保险费定期寿险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8.友邦附加二十四岁豁免保险费定期寿险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9.友邦附加二十五岁豁免保险费定期寿险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10.友邦附加三十岁豁免保险费定期寿险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11.友邦金钥匙抵押贷款定期寿险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12.友邦附加儿童豁免保险合同费用定期寿险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13.友邦*定期寿险附加合同（*分别为十年期、十五年期、二十年期、二十五年期、儿童二十二周岁期满、五十五周岁期满、六十周岁期满）</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14.友邦安心保终身寿险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15.友邦附加智尊宝儿童豁免基本保险费定期寿险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16.友邦豁免缴付保险费附加合同（附加于友邦金瑞保证年金养老保险）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17.友邦附加豁免保险费定期寿险（附加于20PM）</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18.友邦安康保两全保险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19.友邦附加安康保重大疾病保险</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w:t>
            </w:r>
            <w:r>
              <w:rPr>
                <w:rFonts w:hint="eastAsia" w:ascii="宋体" w:hAnsi="宋体" w:eastAsia="宋体" w:cs="宋体"/>
                <w:b/>
                <w:color w:val="000000"/>
                <w:kern w:val="0"/>
                <w:sz w:val="24"/>
                <w:szCs w:val="24"/>
                <w:lang w:val="en-US" w:eastAsia="zh-CN" w:bidi="ar"/>
              </w:rPr>
              <w:t>六、中华联合财产保险公司</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团体儿童计划免疫健康保险</w:t>
            </w:r>
          </w:p>
          <w:p>
            <w:pPr>
              <w:keepNext w:val="0"/>
              <w:keepLines w:val="0"/>
              <w:widowControl/>
              <w:suppressLineNumbers w:val="0"/>
              <w:jc w:val="left"/>
            </w:pPr>
          </w:p>
        </w:tc>
      </w:tr>
    </w:tbl>
    <w:p>
      <w:pPr>
        <w:rPr>
          <w:vanish/>
          <w:sz w:val="24"/>
          <w:szCs w:val="24"/>
        </w:rPr>
      </w:pPr>
    </w:p>
    <w:tbl>
      <w:tblPr>
        <w:tblW w:w="7890" w:type="dxa"/>
        <w:jc w:val="center"/>
        <w:tblCellSpacing w:w="0" w:type="dxa"/>
        <w:tblInd w:w="208" w:type="dxa"/>
        <w:shd w:val="clear"/>
        <w:tblLayout w:type="fixed"/>
        <w:tblCellMar>
          <w:top w:w="0" w:type="dxa"/>
          <w:left w:w="0" w:type="dxa"/>
          <w:bottom w:w="0" w:type="dxa"/>
          <w:right w:w="0" w:type="dxa"/>
        </w:tblCellMar>
      </w:tblPr>
      <w:tblGrid>
        <w:gridCol w:w="7890"/>
      </w:tblGrid>
      <w:tr>
        <w:tblPrEx>
          <w:shd w:val="clear"/>
          <w:tblLayout w:type="fixed"/>
          <w:tblCellMar>
            <w:top w:w="0" w:type="dxa"/>
            <w:left w:w="0" w:type="dxa"/>
            <w:bottom w:w="0" w:type="dxa"/>
            <w:right w:w="0" w:type="dxa"/>
          </w:tblCellMar>
        </w:tblPrEx>
        <w:trPr>
          <w:tblCellSpacing w:w="0" w:type="dxa"/>
          <w:jc w:val="center"/>
        </w:trPr>
        <w:tc>
          <w:tcPr>
            <w:tcW w:w="7890" w:type="dxa"/>
            <w:shd w:val="clear"/>
            <w:vAlign w:val="center"/>
          </w:tcPr>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7307DD"/>
    <w:rsid w:val="387307D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222222"/>
      <w:sz w:val="18"/>
      <w:szCs w:val="18"/>
      <w:u w:val="none"/>
    </w:rPr>
  </w:style>
  <w:style w:type="character" w:styleId="4">
    <w:name w:val="Hyperlink"/>
    <w:basedOn w:val="2"/>
    <w:uiPriority w:val="0"/>
    <w:rPr>
      <w:color w:val="222222"/>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2016-05-24T03:37:00Z</dcterms:created>
  <dc:creator>12509</dc:creator>
  <cp:lastModifiedBy>12509</cp:lastModifiedBy>
  <dcterms:modified xsi:type="dcterms:W3CDTF">2016-05-24T03:38:33Z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