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724" w:type="dxa"/>
        <w:jc w:val="center"/>
        <w:tblCellSpacing w:w="0" w:type="dxa"/>
        <w:tblInd w:w="291" w:type="dxa"/>
        <w:shd w:val="clear"/>
        <w:tblLayout w:type="fixed"/>
        <w:tblCellMar>
          <w:top w:w="0" w:type="dxa"/>
          <w:left w:w="0" w:type="dxa"/>
          <w:bottom w:w="0" w:type="dxa"/>
          <w:right w:w="0" w:type="dxa"/>
        </w:tblCellMar>
      </w:tblPr>
      <w:tblGrid>
        <w:gridCol w:w="7724"/>
      </w:tblGrid>
      <w:tr>
        <w:tblPrEx>
          <w:tblLayout w:type="fixed"/>
          <w:tblCellMar>
            <w:top w:w="0" w:type="dxa"/>
            <w:left w:w="0" w:type="dxa"/>
            <w:bottom w:w="0" w:type="dxa"/>
            <w:right w:w="0" w:type="dxa"/>
          </w:tblCellMar>
        </w:tblPrEx>
        <w:trPr>
          <w:tblCellSpacing w:w="0" w:type="dxa"/>
          <w:jc w:val="center"/>
        </w:trPr>
        <w:tc>
          <w:tcPr>
            <w:tcW w:w="7724" w:type="dxa"/>
            <w:shd w:val="clear"/>
            <w:vAlign w:val="center"/>
          </w:tcPr>
          <w:p>
            <w:pPr>
              <w:keepNext w:val="0"/>
              <w:keepLines w:val="0"/>
              <w:widowControl/>
              <w:suppressLineNumbers w:val="0"/>
              <w:spacing w:line="300" w:lineRule="atLeast"/>
              <w:jc w:val="center"/>
              <w:rPr>
                <w:rFonts w:hint="eastAsia" w:ascii="宋体" w:hAnsi="宋体" w:eastAsia="宋体" w:cs="宋体"/>
                <w:b/>
                <w:color w:val="454545"/>
                <w:sz w:val="24"/>
                <w:szCs w:val="24"/>
              </w:rPr>
            </w:pPr>
            <w:r>
              <w:rPr>
                <w:rFonts w:hint="eastAsia" w:ascii="宋体" w:hAnsi="宋体" w:eastAsia="宋体" w:cs="宋体"/>
                <w:b/>
                <w:color w:val="454545"/>
                <w:kern w:val="0"/>
                <w:sz w:val="27"/>
                <w:szCs w:val="27"/>
                <w:lang w:val="en-US" w:eastAsia="zh-CN" w:bidi="ar"/>
              </w:rPr>
              <w:t xml:space="preserve">财政部 国家税务总局关于资本市场有关营业税政策的通知 </w:t>
            </w:r>
            <w:r>
              <w:rPr>
                <w:rFonts w:hint="eastAsia" w:ascii="宋体" w:hAnsi="宋体" w:eastAsia="宋体" w:cs="宋体"/>
                <w:b/>
                <w:color w:val="454545"/>
                <w:kern w:val="0"/>
                <w:sz w:val="24"/>
                <w:szCs w:val="24"/>
                <w:lang w:val="en-US" w:eastAsia="zh-CN" w:bidi="ar"/>
              </w:rPr>
              <w:t xml:space="preserve">  </w:t>
            </w:r>
          </w:p>
        </w:tc>
      </w:tr>
      <w:tr>
        <w:tblPrEx>
          <w:shd w:val="clear"/>
          <w:tblLayout w:type="fixed"/>
          <w:tblCellMar>
            <w:top w:w="0" w:type="dxa"/>
            <w:left w:w="0" w:type="dxa"/>
            <w:bottom w:w="0" w:type="dxa"/>
            <w:right w:w="0" w:type="dxa"/>
          </w:tblCellMar>
        </w:tblPrEx>
        <w:trPr>
          <w:trHeight w:val="241" w:hRule="atLeast"/>
          <w:tblCellSpacing w:w="0" w:type="dxa"/>
          <w:jc w:val="center"/>
        </w:trPr>
        <w:tc>
          <w:tcPr>
            <w:tcW w:w="7724" w:type="dxa"/>
            <w:shd w:val="clear"/>
            <w:vAlign w:val="center"/>
          </w:tcPr>
          <w:p>
            <w:pPr>
              <w:keepNext w:val="0"/>
              <w:keepLines w:val="0"/>
              <w:widowControl/>
              <w:suppressLineNumbers w:val="0"/>
              <w:spacing w:line="300" w:lineRule="atLeast"/>
            </w:pPr>
            <w:r>
              <w:rPr>
                <w:sz w:val="24"/>
                <w:szCs w:val="24"/>
              </w:rPr>
              <w:pict>
                <v:rect id="_x0000_i1026" o:spt="1" style="height:0.75pt;width:401.75pt;" fillcolor="#A0A0A0" filled="t" stroked="f" coordsize="21600,21600" o:hr="t" o:hrstd="t" o:hralign="center">
                  <v:path/>
                  <v:fill on="t" focussize="0,0"/>
                  <v:stroke on="f"/>
                  <v:imagedata o:title=""/>
                  <o:lock v:ext="edit"/>
                  <w10:wrap type="none"/>
                  <w10:anchorlock/>
                </v:rect>
              </w:pict>
            </w:r>
          </w:p>
        </w:tc>
      </w:tr>
      <w:tr>
        <w:tblPrEx>
          <w:shd w:val="clear"/>
          <w:tblLayout w:type="fixed"/>
          <w:tblCellMar>
            <w:top w:w="0" w:type="dxa"/>
            <w:left w:w="0" w:type="dxa"/>
            <w:bottom w:w="0" w:type="dxa"/>
            <w:right w:w="0" w:type="dxa"/>
          </w:tblCellMar>
        </w:tblPrEx>
        <w:trPr>
          <w:trHeight w:val="375" w:hRule="atLeast"/>
          <w:tblCellSpacing w:w="0" w:type="dxa"/>
          <w:jc w:val="center"/>
        </w:trPr>
        <w:tc>
          <w:tcPr>
            <w:tcW w:w="7724" w:type="dxa"/>
            <w:shd w:val="clear"/>
            <w:vAlign w:val="center"/>
          </w:tcPr>
          <w:p>
            <w:pPr>
              <w:keepNext w:val="0"/>
              <w:keepLines w:val="0"/>
              <w:widowControl/>
              <w:suppressLineNumbers w:val="0"/>
              <w:spacing w:line="540" w:lineRule="atLeast"/>
              <w:jc w:val="center"/>
              <w:rPr>
                <w:rFonts w:hint="eastAsia" w:ascii="宋体" w:hAnsi="宋体" w:eastAsia="宋体" w:cs="宋体"/>
                <w:b/>
                <w:color w:val="DF0000"/>
                <w:sz w:val="18"/>
                <w:szCs w:val="18"/>
              </w:rPr>
            </w:pPr>
            <w:r>
              <w:rPr>
                <w:rFonts w:hint="eastAsia" w:ascii="宋体" w:hAnsi="宋体" w:eastAsia="宋体" w:cs="宋体"/>
                <w:b/>
                <w:color w:val="DF0000"/>
                <w:kern w:val="0"/>
                <w:sz w:val="18"/>
                <w:szCs w:val="18"/>
                <w:lang w:val="en-US" w:eastAsia="zh-CN" w:bidi="ar"/>
              </w:rPr>
              <w:t>财税〔2004〕203号 </w:t>
            </w:r>
          </w:p>
        </w:tc>
      </w:tr>
      <w:tr>
        <w:tblPrEx>
          <w:tblLayout w:type="fixed"/>
          <w:tblCellMar>
            <w:top w:w="0" w:type="dxa"/>
            <w:left w:w="0" w:type="dxa"/>
            <w:bottom w:w="0" w:type="dxa"/>
            <w:right w:w="0" w:type="dxa"/>
          </w:tblCellMar>
        </w:tblPrEx>
        <w:trPr>
          <w:tblCellSpacing w:w="0" w:type="dxa"/>
          <w:jc w:val="center"/>
        </w:trPr>
        <w:tc>
          <w:tcPr>
            <w:tcW w:w="7724" w:type="dxa"/>
            <w:shd w:val="clear"/>
            <w:vAlign w:val="center"/>
          </w:tcPr>
          <w:p>
            <w:pPr>
              <w:keepNext w:val="0"/>
              <w:keepLines w:val="0"/>
              <w:widowControl/>
              <w:suppressLineNumbers w:val="0"/>
              <w:spacing w:line="540" w:lineRule="atLeast"/>
              <w:jc w:val="right"/>
              <w:rPr>
                <w:rFonts w:hint="eastAsia" w:ascii="宋体" w:hAnsi="宋体" w:eastAsia="宋体" w:cs="宋体"/>
                <w:color w:val="005DDC"/>
                <w:sz w:val="18"/>
                <w:szCs w:val="18"/>
              </w:rPr>
            </w:pPr>
            <w:r>
              <w:rPr>
                <w:rFonts w:hint="eastAsia" w:ascii="宋体" w:hAnsi="宋体" w:eastAsia="宋体" w:cs="宋体"/>
                <w:color w:val="FF0000"/>
                <w:kern w:val="0"/>
                <w:sz w:val="18"/>
                <w:szCs w:val="18"/>
                <w:lang w:val="en-US" w:eastAsia="zh-CN" w:bidi="ar"/>
              </w:rPr>
              <w:t>全文有效</w:t>
            </w:r>
            <w:r>
              <w:rPr>
                <w:rFonts w:hint="eastAsia" w:ascii="宋体" w:hAnsi="宋体" w:eastAsia="宋体" w:cs="宋体"/>
                <w:color w:val="005DDC"/>
                <w:kern w:val="0"/>
                <w:sz w:val="18"/>
                <w:szCs w:val="18"/>
                <w:lang w:val="en-US" w:eastAsia="zh-CN" w:bidi="ar"/>
              </w:rPr>
              <w:t>   成文日期：2004-12-21</w:t>
            </w:r>
          </w:p>
        </w:tc>
      </w:tr>
    </w:tbl>
    <w:p>
      <w:pPr>
        <w:rPr>
          <w:vanish/>
          <w:sz w:val="24"/>
          <w:szCs w:val="24"/>
        </w:rPr>
      </w:pPr>
      <w:bookmarkStart w:id="0" w:name="_GoBack"/>
      <w:bookmarkEnd w:id="0"/>
    </w:p>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CellMar>
            <w:top w:w="0" w:type="dxa"/>
            <w:left w:w="0" w:type="dxa"/>
            <w:bottom w:w="0" w:type="dxa"/>
            <w:right w:w="0" w:type="dxa"/>
          </w:tblCellMar>
        </w:tblPrEx>
        <w:trPr>
          <w:tblCellSpacing w:w="0" w:type="dxa"/>
          <w:jc w:val="center"/>
        </w:trPr>
        <w:tc>
          <w:tcPr>
            <w:tcW w:w="7890" w:type="dxa"/>
            <w:shd w:val="clear"/>
            <w:vAlign w:val="center"/>
          </w:tcPr>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各省、自治区、直辖市、计划单列市财政厅（局）、地方税务局、新疆生产建设兵团财务局：</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为了贯彻落实《国务院关于推进资本市场改革开放和稳定发展的若干意见》（国发〔2004〕3号），促进资本市场稳定健康发展，现将资本市场有关营业税政策通知如下：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一、准许上海、深圳证券交易所代收的证券交易监管费从其营业税计税营业额中扣除。</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二、准许上海、深圳、大连期货交易所代收的期货市场监管费从其营业税计税营业额中扣除。</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三、准许证券公司代收的以下费用从其营业税计税营业额中扣除。</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1.为证券交易所代收的证券交易监管费；</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2.代理他人买卖证券代收的证券交易所经手费；</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3.为中国证券登记结算公司代收的股东账户开户费（包括A股和B股）、特别转让股票开户费、过户费、B股结算费、转托管费；</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四、准许期货经纪公司为期货交易所代收的手续费从其营业税计税营业额中扣除。</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本通知自2005年1月1日起执行。</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D30AF"/>
    <w:rsid w:val="1E6D30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222222"/>
      <w:sz w:val="18"/>
      <w:szCs w:val="18"/>
      <w:u w:val="none"/>
    </w:rPr>
  </w:style>
  <w:style w:type="character" w:styleId="4">
    <w:name w:val="Hyperlink"/>
    <w:basedOn w:val="2"/>
    <w:uiPriority w:val="0"/>
    <w:rPr>
      <w:color w:val="222222"/>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2016-05-24T03:44:00Z</dcterms:created>
  <dc:creator>12509</dc:creator>
  <cp:lastModifiedBy>12509</cp:lastModifiedBy>
  <dcterms:modified xsi:type="dcterms:W3CDTF">2016-05-24T03:44:55Z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